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CE3A5" w14:textId="07D2935A" w:rsidR="00F233F4" w:rsidRDefault="00F233F4" w:rsidP="00F233F4">
      <w:pPr>
        <w:pStyle w:val="Heading2"/>
        <w:rPr>
          <w:rFonts w:eastAsia="MS Gothic"/>
        </w:rPr>
      </w:pPr>
      <w:r>
        <w:rPr>
          <w:rFonts w:eastAsia="MS Gothic"/>
        </w:rPr>
        <w:t>1</w:t>
      </w:r>
    </w:p>
    <w:p w14:paraId="7AFB326B" w14:textId="2E03388A"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Our interpretation is that debate is a game and the affirmative should have to defend the implementation of United States government action grounded in the resolution.</w:t>
      </w:r>
    </w:p>
    <w:p w14:paraId="11CA2EE2"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This does not require any use of a particular form of argumentation, type of evidence or the assumption of the role of the judge – the resolution is especially meant to limit the form of debate, and that’s pretty neat!</w:t>
      </w:r>
    </w:p>
    <w:p w14:paraId="14754FD3" w14:textId="77777777" w:rsidR="00F233F4" w:rsidRPr="008D3236" w:rsidRDefault="00F233F4" w:rsidP="00F233F4">
      <w:pPr>
        <w:rPr>
          <w:rFonts w:eastAsia="Cambria"/>
        </w:rPr>
      </w:pPr>
      <w:r w:rsidRPr="008D3236">
        <w:rPr>
          <w:rFonts w:eastAsia="Cambria"/>
          <w:b/>
          <w:bCs/>
          <w:sz w:val="26"/>
        </w:rPr>
        <w:t>Hoofd’07</w:t>
      </w:r>
      <w:r w:rsidRPr="008D3236">
        <w:rPr>
          <w:rFonts w:eastAsia="Cambria"/>
        </w:rPr>
        <w:t xml:space="preserve">|Ingrid M. Hoofd, National University of Singapore, “The Neoliberal Consolidation of Play and Speed: Ethical Issues in Serious Gaming” in “CRITICAL LITERACY: Theories and Practices Volume 1: 2, December 2007,” p. 6-14, 2007|KZaidi // recut ahs emi </w:t>
      </w:r>
    </w:p>
    <w:p w14:paraId="7383FC35" w14:textId="2CC50C7A" w:rsidR="00F233F4" w:rsidRPr="008D3236" w:rsidRDefault="00F233F4" w:rsidP="00F233F4">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emphasises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by harbouring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web-casts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globalisation.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is symptomatic of the decentralisation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must mean that the centre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So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virtualisation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production increasingly and diffusely colonises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favouring culturally particular notions of personhood. </w:t>
      </w:r>
      <w:r w:rsidRPr="008D3236">
        <w:rPr>
          <w:rFonts w:eastAsia="Cambria"/>
          <w:sz w:val="10"/>
        </w:rPr>
        <w:t xml:space="preserve">In the case of computer- and video-games for entertainment, researchers have argued that the aesthetic properties of gaming technologies </w:t>
      </w:r>
      <w:r w:rsidRPr="008D3236">
        <w:rPr>
          <w:rFonts w:eastAsia="Cambria"/>
          <w:u w:val="single"/>
        </w:rPr>
        <w:t>give rise to so-called ‘militarised masculinity.’</w:t>
      </w:r>
      <w:r w:rsidRPr="008D3236">
        <w:rPr>
          <w:rFonts w:eastAsia="Cambria"/>
          <w:sz w:val="10"/>
        </w:rPr>
        <w:t xml:space="preserve"> In “Designing Militarized Masculinity,” Stephen Kline, Nick DyerWitheford, and Greig de Peuter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mobilisation that video-games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w:t>
      </w:r>
      <w:r w:rsidRPr="008D3236">
        <w:rPr>
          <w:rFonts w:eastAsia="Cambria"/>
          <w:u w:val="single"/>
        </w:rPr>
        <w:t>due to the capitalist need for the production of excess, there is a strong relationship between the forces of exchange and production, and the logic of speed.</w:t>
      </w:r>
      <w:r w:rsidRPr="008D3236">
        <w:rPr>
          <w:rFonts w:eastAsia="Cambria"/>
          <w:sz w:val="10"/>
        </w:rPr>
        <w:t xml:space="preserve"> In line with Virilio’s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late-</w:t>
      </w:r>
      <w:r w:rsidRPr="008D3236">
        <w:rPr>
          <w:rFonts w:eastAsia="Cambria"/>
          <w:highlight w:val="yellow"/>
          <w:u w:val="single"/>
        </w:rPr>
        <w:t xml:space="preserve">capitalism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in favour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r w:rsidRPr="008D3236">
        <w:rPr>
          <w:rFonts w:eastAsia="Cambria"/>
          <w:highlight w:val="yellow"/>
          <w:u w:val="single"/>
        </w:rPr>
        <w:t>empowerment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w:t>
      </w:r>
    </w:p>
    <w:p w14:paraId="296F840D"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 xml:space="preserve">Failure to defend topical action </w:t>
      </w:r>
      <w:r w:rsidRPr="008D3236">
        <w:rPr>
          <w:rFonts w:eastAsia="MS Gothic"/>
          <w:b/>
          <w:iCs/>
          <w:sz w:val="26"/>
          <w:u w:val="single"/>
        </w:rPr>
        <w:t>decimates</w:t>
      </w:r>
      <w:r w:rsidRPr="008D3236">
        <w:rPr>
          <w:rFonts w:eastAsia="MS Gothic"/>
          <w:b/>
          <w:iCs/>
          <w:sz w:val="26"/>
        </w:rPr>
        <w:t xml:space="preserve"> the quality of reality. Three reasons – </w:t>
      </w:r>
    </w:p>
    <w:p w14:paraId="3629B7DF"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a. Fairness – it’s like, really important. I promise.</w:t>
      </w:r>
    </w:p>
    <w:p w14:paraId="797FB4FC" w14:textId="77777777" w:rsidR="00F233F4" w:rsidRPr="00A22CE5" w:rsidRDefault="00F233F4" w:rsidP="00F233F4">
      <w:pPr>
        <w:keepNext/>
        <w:keepLines/>
        <w:spacing w:before="40" w:after="0"/>
        <w:outlineLvl w:val="3"/>
        <w:rPr>
          <w:rStyle w:val="Style13ptBold"/>
          <w:rFonts w:eastAsia="MS Gothic"/>
          <w:bCs w:val="0"/>
          <w:iCs/>
        </w:rPr>
      </w:pPr>
      <w:r w:rsidRPr="008D3236">
        <w:rPr>
          <w:rFonts w:eastAsia="MS Gothic"/>
          <w:b/>
          <w:iCs/>
          <w:sz w:val="26"/>
        </w:rPr>
        <w:t xml:space="preserve">b.  Implosive violence – </w:t>
      </w:r>
      <w:r>
        <w:rPr>
          <w:rStyle w:val="Style13ptBold"/>
        </w:rPr>
        <w:t xml:space="preserve">Their investment in the need for medicine creates a consumptive culture that constantly begs for miracles to become happy, leading to complicity with the hyperreal and all its gifts </w:t>
      </w:r>
    </w:p>
    <w:p w14:paraId="334F129F" w14:textId="77777777" w:rsidR="00F233F4" w:rsidRPr="000F186E" w:rsidRDefault="00F233F4" w:rsidP="00F233F4">
      <w:pPr>
        <w:rPr>
          <w:rStyle w:val="Style13ptBold"/>
          <w:b w:val="0"/>
          <w:bCs w:val="0"/>
        </w:rPr>
      </w:pPr>
      <w:r>
        <w:rPr>
          <w:rStyle w:val="Style13ptBold"/>
        </w:rPr>
        <w:t>Frank 2k</w:t>
      </w:r>
      <w:r w:rsidRPr="000F186E">
        <w:rPr>
          <w:rStyle w:val="Style13ptBold"/>
          <w:b w:val="0"/>
          <w:bCs w:val="0"/>
        </w:rPr>
        <w:t>, Arthur W. Frank PhD., University of Calgary</w:t>
      </w:r>
      <w:r>
        <w:rPr>
          <w:rStyle w:val="Style13ptBold"/>
          <w:b w:val="0"/>
          <w:bCs w:val="0"/>
        </w:rPr>
        <w:t xml:space="preserve">, “All the Things Which Do Not Fit: Baudrillard and Medical Consumerism” </w:t>
      </w:r>
      <w:r w:rsidRPr="000F186E">
        <w:rPr>
          <w:rStyle w:val="Style13ptBold"/>
          <w:b w:val="0"/>
          <w:bCs w:val="0"/>
        </w:rPr>
        <w:t>Families, Systems, &amp; Health, 18(2), 205–216</w:t>
      </w:r>
      <w:r>
        <w:rPr>
          <w:rStyle w:val="Style13ptBold"/>
          <w:b w:val="0"/>
          <w:bCs w:val="0"/>
        </w:rPr>
        <w:t xml:space="preserve"> [</w:t>
      </w:r>
      <w:r w:rsidRPr="000F186E">
        <w:rPr>
          <w:rStyle w:val="Style13ptBold"/>
          <w:b w:val="0"/>
          <w:bCs w:val="0"/>
        </w:rPr>
        <w:t>https://psycnet.apa.org/record/2000-05119-005</w:t>
      </w:r>
      <w:r>
        <w:rPr>
          <w:rStyle w:val="Style13ptBold"/>
          <w:b w:val="0"/>
          <w:bCs w:val="0"/>
        </w:rPr>
        <w:t>] Accessed 8/12/21 AHS//NPR</w:t>
      </w:r>
    </w:p>
    <w:p w14:paraId="7B8A26F7" w14:textId="455AEFD6" w:rsidR="00F233F4" w:rsidRDefault="00F233F4" w:rsidP="00F233F4">
      <w:pPr>
        <w:rPr>
          <w:rStyle w:val="StyleUnderline"/>
          <w:b/>
          <w:bCs/>
        </w:rPr>
      </w:pPr>
      <w:r w:rsidRPr="000F186E">
        <w:rPr>
          <w:sz w:val="10"/>
        </w:rPr>
        <w:t xml:space="preserve">Baudrillard compares consumer society to a cargo cult to make the point that </w:t>
      </w:r>
      <w:r w:rsidRPr="000F186E">
        <w:rPr>
          <w:rStyle w:val="StyleUnderline"/>
          <w:highlight w:val="yellow"/>
        </w:rPr>
        <w:t>consumers experience commodities as a miracle</w:t>
      </w:r>
      <w:r w:rsidRPr="000F186E">
        <w:rPr>
          <w:sz w:val="10"/>
        </w:rPr>
        <w:t xml:space="preserve">. Instead of walking along beaches on which objects have suddenly been dropped, we wander through warehouse stores and shopping malls in which the supply of objects seems endless. Whether we buy or not (a point returned to below) </w:t>
      </w:r>
      <w:r w:rsidRPr="000F186E">
        <w:rPr>
          <w:rStyle w:val="StyleUnderline"/>
        </w:rPr>
        <w:t>the cumulative experience of a lifetime of shopping leads us to believe we have a right to this miracle,</w:t>
      </w:r>
      <w:r w:rsidRPr="000F186E">
        <w:rPr>
          <w:sz w:val="10"/>
        </w:rPr>
        <w:t xml:space="preserve"> “a legitimate, inalienable right to plenty” and “the natural right to abundance” (Baudrillard, 1998, p. 32: original emphases omitted). The miracles are “dispensed by a beneficent mythological agency to which we are the legitimate heirs: Technology, Progress, Growth, etc.” (p. 32). </w:t>
      </w:r>
      <w:r w:rsidRPr="000F186E">
        <w:rPr>
          <w:rStyle w:val="StyleUnderline"/>
          <w:highlight w:val="yellow"/>
        </w:rPr>
        <w:t>Medicine</w:t>
      </w:r>
      <w:r w:rsidRPr="000F186E">
        <w:rPr>
          <w:sz w:val="10"/>
          <w:highlight w:val="yellow"/>
        </w:rPr>
        <w:t xml:space="preserve"> </w:t>
      </w:r>
      <w:r w:rsidRPr="000F186E">
        <w:rPr>
          <w:rStyle w:val="StyleUnderline"/>
          <w:highlight w:val="yellow"/>
        </w:rPr>
        <w:t>inserts</w:t>
      </w:r>
      <w:r w:rsidRPr="000F186E">
        <w:rPr>
          <w:sz w:val="10"/>
          <w:highlight w:val="yellow"/>
        </w:rPr>
        <w:t xml:space="preserve"> </w:t>
      </w:r>
      <w:r w:rsidRPr="000F186E">
        <w:rPr>
          <w:rStyle w:val="StyleUnderline"/>
          <w:highlight w:val="yellow"/>
        </w:rPr>
        <w:t>itself</w:t>
      </w:r>
      <w:r w:rsidRPr="000F186E">
        <w:rPr>
          <w:sz w:val="10"/>
          <w:highlight w:val="yellow"/>
        </w:rPr>
        <w:t xml:space="preserve"> </w:t>
      </w:r>
      <w:r w:rsidRPr="000F186E">
        <w:rPr>
          <w:sz w:val="10"/>
        </w:rPr>
        <w:t xml:space="preserve">into this mythological agency </w:t>
      </w:r>
      <w:r w:rsidRPr="000F186E">
        <w:rPr>
          <w:rStyle w:val="StyleUnderline"/>
          <w:highlight w:val="yellow"/>
        </w:rPr>
        <w:t>when it offers</w:t>
      </w:r>
      <w:r w:rsidRPr="000F186E">
        <w:rPr>
          <w:sz w:val="10"/>
          <w:highlight w:val="yellow"/>
        </w:rPr>
        <w:t xml:space="preserve"> </w:t>
      </w:r>
      <w:r w:rsidRPr="000F186E">
        <w:rPr>
          <w:sz w:val="10"/>
        </w:rPr>
        <w:t xml:space="preserve">breast implants as high school graduation gifts (“Breast implants—a new form of graduation gift.” 1999), lean thighs (“Women pay $5M for lean thighs,” 1999), and </w:t>
      </w:r>
      <w:r w:rsidRPr="000F186E">
        <w:rPr>
          <w:rStyle w:val="StyleUnderline"/>
        </w:rPr>
        <w:t>relief from social anxiety</w:t>
      </w:r>
      <w:r w:rsidRPr="000F186E">
        <w:rPr>
          <w:sz w:val="10"/>
        </w:rPr>
        <w:t xml:space="preserve"> (“Shyness pill eases social distress,” 1999), </w:t>
      </w:r>
      <w:r w:rsidRPr="000F186E">
        <w:rPr>
          <w:rStyle w:val="StyleUnderline"/>
        </w:rPr>
        <w:t xml:space="preserve">among </w:t>
      </w:r>
      <w:r w:rsidRPr="000F186E">
        <w:rPr>
          <w:rStyle w:val="StyleUnderline"/>
          <w:highlight w:val="yellow"/>
        </w:rPr>
        <w:t>the</w:t>
      </w:r>
      <w:r w:rsidRPr="000F186E">
        <w:rPr>
          <w:rStyle w:val="StyleUnderline"/>
        </w:rPr>
        <w:t xml:space="preserve"> </w:t>
      </w:r>
      <w:r w:rsidRPr="000F186E">
        <w:rPr>
          <w:rStyle w:val="StyleUnderline"/>
          <w:highlight w:val="yellow"/>
        </w:rPr>
        <w:t>many miracles advertised</w:t>
      </w:r>
      <w:r w:rsidRPr="000F186E">
        <w:rPr>
          <w:rStyle w:val="StyleUnderline"/>
        </w:rPr>
        <w:t xml:space="preserve"> and consumed</w:t>
      </w:r>
      <w:r w:rsidRPr="000F186E">
        <w:rPr>
          <w:sz w:val="10"/>
        </w:rPr>
        <w:t>. One advertisement deserves full quotation: Penile Enlargement...there is a difference. Experience counts! Rodney S. Barron, M.D. is an internationally recognized pioneer in male enhancement surgery, featured in Men’s Health and on national T.V. He has helped thousands of men achieve greater self-esteem through increased length and girth. (The New York ‘Times, December 8, 1999) How individuals report their own experiences of these miracles is discussed in the next section. The present issue is how our contemporary cargo cult of objects affects medicine, its patients, and its consumers. The Melanesians waited for the gods to redirect their bounty. “</w:t>
      </w:r>
      <w:r w:rsidRPr="000F186E">
        <w:rPr>
          <w:rStyle w:val="StyleUnderline"/>
          <w:highlight w:val="yellow"/>
        </w:rPr>
        <w:t xml:space="preserve">The beneficiary of the consumer </w:t>
      </w:r>
      <w:r w:rsidRPr="000F186E">
        <w:rPr>
          <w:rStyle w:val="StyleUnderline"/>
        </w:rPr>
        <w:t>miracle</w:t>
      </w:r>
      <w:r w:rsidRPr="000F186E">
        <w:rPr>
          <w:sz w:val="10"/>
        </w:rPr>
        <w:t xml:space="preserve">,” Baudrillard (1998) writes, “also </w:t>
      </w:r>
      <w:r w:rsidRPr="000F186E">
        <w:rPr>
          <w:rStyle w:val="StyleUnderline"/>
          <w:highlight w:val="yellow"/>
        </w:rPr>
        <w:t>sets in place a whole array of sham objects</w:t>
      </w:r>
      <w:r w:rsidRPr="000F186E">
        <w:rPr>
          <w:rStyle w:val="StyleUnderline"/>
        </w:rPr>
        <w:t xml:space="preserve">, of characteristic signs of happiness, </w:t>
      </w:r>
      <w:r w:rsidRPr="000F186E">
        <w:rPr>
          <w:rStyle w:val="StyleUnderline"/>
          <w:highlight w:val="yellow"/>
        </w:rPr>
        <w:t xml:space="preserve">and </w:t>
      </w:r>
      <w:r w:rsidRPr="000F186E">
        <w:rPr>
          <w:rStyle w:val="StyleUnderline"/>
        </w:rPr>
        <w:t xml:space="preserve">then </w:t>
      </w:r>
      <w:r w:rsidRPr="000F186E">
        <w:rPr>
          <w:rStyle w:val="StyleUnderline"/>
          <w:highlight w:val="yellow"/>
        </w:rPr>
        <w:t>waits</w:t>
      </w:r>
      <w:r w:rsidRPr="000F186E">
        <w:rPr>
          <w:sz w:val="10"/>
          <w:highlight w:val="yellow"/>
        </w:rPr>
        <w:t xml:space="preserve"> </w:t>
      </w:r>
      <w:r w:rsidRPr="000F186E">
        <w:rPr>
          <w:sz w:val="10"/>
        </w:rPr>
        <w:t xml:space="preserve">(waits desperately, a moralist would say), </w:t>
      </w:r>
      <w:r w:rsidRPr="000F186E">
        <w:rPr>
          <w:rStyle w:val="StyleUnderline"/>
          <w:highlight w:val="yellow"/>
        </w:rPr>
        <w:t xml:space="preserve">for happiness </w:t>
      </w:r>
      <w:r w:rsidRPr="000F186E">
        <w:rPr>
          <w:rStyle w:val="StyleUnderline"/>
        </w:rPr>
        <w:t>to alight</w:t>
      </w:r>
      <w:r w:rsidRPr="000F186E">
        <w:rPr>
          <w:sz w:val="10"/>
        </w:rPr>
        <w:t xml:space="preserve">” (p. 31). The medical consumer waits, often desperately, for his or her own signs of happiness: “increased length and girth” of penis, enhanced breasts, leaner thighs, decreased anxieties, and conflated among these miracles, new treatments and even cures for life- threatening and debilitating diseases. The crucial word in Baudrillard’s statement may be signs of happiness. </w:t>
      </w:r>
      <w:r w:rsidRPr="000F186E">
        <w:rPr>
          <w:rStyle w:val="StyleUnderline"/>
        </w:rPr>
        <w:t>Consumer society is where signs are taken more seriously than the objects they signify</w:t>
      </w:r>
      <w:r w:rsidRPr="000F186E">
        <w:rPr>
          <w:sz w:val="10"/>
        </w:rPr>
        <w:t>. As the motto of this society T nominate the “as seen on TV" stickers that appear on everything from groceries to books. ‘</w:t>
      </w:r>
      <w:r w:rsidRPr="000F186E">
        <w:rPr>
          <w:rStyle w:val="StyleUnderline"/>
        </w:rPr>
        <w:t xml:space="preserve">The actual object is not only validated by having been experienced first as a sign (the TV image). For the consumer, </w:t>
      </w:r>
      <w:r w:rsidRPr="000F186E">
        <w:rPr>
          <w:rStyle w:val="StyleUnderline"/>
          <w:highlight w:val="yellow"/>
        </w:rPr>
        <w:t>the actual object will always be an imitation of the advertisement that initially created that object as a sign</w:t>
      </w:r>
      <w:r w:rsidRPr="000F186E">
        <w:rPr>
          <w:sz w:val="10"/>
          <w:highlight w:val="yellow"/>
        </w:rPr>
        <w:t xml:space="preserve">. </w:t>
      </w:r>
      <w:r w:rsidRPr="000F186E">
        <w:rPr>
          <w:rStyle w:val="StyleUnderline"/>
        </w:rPr>
        <w:t>Acquisition of these signs of happiness</w:t>
      </w:r>
      <w:r w:rsidRPr="000F186E">
        <w:rPr>
          <w:sz w:val="10"/>
        </w:rPr>
        <w:t xml:space="preserve"> (for which survival is now the minimum condition) </w:t>
      </w:r>
      <w:r w:rsidRPr="000F186E">
        <w:rPr>
          <w:rStyle w:val="StyleUnderline"/>
        </w:rPr>
        <w:t>is not strictly optional</w:t>
      </w:r>
      <w:r w:rsidRPr="000F186E">
        <w:rPr>
          <w:sz w:val="10"/>
        </w:rPr>
        <w:t xml:space="preserve">, if Baudrillard (1998) is right that “consumerist man [and woman] regards enjoyment as an obligation; he sees himself [and herself] as an enjoyment and satisfaction business. He sees it as his duty to be happy...” (p. 80, emphases omitted). </w:t>
      </w:r>
      <w:r w:rsidRPr="000F186E">
        <w:rPr>
          <w:rStyle w:val="StyleUnderline"/>
          <w:highlight w:val="yellow"/>
        </w:rPr>
        <w:t xml:space="preserve">The </w:t>
      </w:r>
      <w:r w:rsidRPr="000F186E">
        <w:rPr>
          <w:rStyle w:val="StyleUnderline"/>
        </w:rPr>
        <w:t xml:space="preserve">complementary side of this </w:t>
      </w:r>
      <w:r w:rsidRPr="000F186E">
        <w:rPr>
          <w:rStyle w:val="StyleUnderline"/>
          <w:highlight w:val="yellow"/>
        </w:rPr>
        <w:t>attitude is being “haunted by the fear of ‘missing’ something</w:t>
      </w:r>
      <w:r w:rsidRPr="000F186E">
        <w:rPr>
          <w:rStyle w:val="StyleUnderline"/>
        </w:rPr>
        <w:t>”</w:t>
      </w:r>
      <w:r w:rsidRPr="000F186E">
        <w:rPr>
          <w:sz w:val="10"/>
        </w:rPr>
        <w:t xml:space="preserve"> (p. 80). </w:t>
      </w:r>
      <w:r w:rsidRPr="000F186E">
        <w:rPr>
          <w:rStyle w:val="StyleUnderline"/>
        </w:rPr>
        <w:t>The consumer is constantly forced by medical promotions</w:t>
      </w:r>
      <w:r w:rsidRPr="000F186E">
        <w:rPr>
          <w:sz w:val="10"/>
        </w:rPr>
        <w:t xml:space="preserve"> (comprising the combined effect of advertising and journalism) </w:t>
      </w:r>
      <w:r w:rsidRPr="000F186E">
        <w:rPr>
          <w:rStyle w:val="StyleUnderline"/>
        </w:rPr>
        <w:t>to ask; What would my life be like with this or that enhancement?</w:t>
      </w:r>
      <w:r w:rsidRPr="000F186E">
        <w:rPr>
          <w:sz w:val="10"/>
        </w:rPr>
        <w:t xml:space="preserve"> How much happier might I be? In the answer to this question, “if I had” becomes interchangeable with “if I were.” Of course people constantly refuse signs of happiness offered hy consumer society. Moat of us do not speak in the terms used by Kate Starbird, forward of the Sacramento Monarchs: “I know a lot of people who could use more knee cartilage— artificial cartilage you wouldn't have to graft. I'm always trying to order new parts. A new back wouldn't hurt” (quoted in “The Wired diaries 2000,” 2000). Maybe more of us will speak and think this way in the near future, but that possibility -while quite real—is not necessary to the present. argument, Baudrillard leads us to recognize that whether consumers use or refuse whatever is advertised, the advertisement becomes part of their experience and expectations of the world. </w:t>
      </w:r>
      <w:r w:rsidRPr="000F186E">
        <w:rPr>
          <w:rStyle w:val="StyleUnderline"/>
        </w:rPr>
        <w:t>Advertising</w:t>
      </w:r>
      <w:r w:rsidRPr="000F186E">
        <w:rPr>
          <w:sz w:val="10"/>
        </w:rPr>
        <w:t xml:space="preserve">, Baudrillard (2000) writes, whether or not it sells specific products, “itself </w:t>
      </w:r>
      <w:r w:rsidRPr="000F186E">
        <w:rPr>
          <w:rStyle w:val="StyleUnderline"/>
        </w:rPr>
        <w:t>becomes an object to be consumed</w:t>
      </w:r>
      <w:r w:rsidRPr="000F186E">
        <w:rPr>
          <w:sz w:val="10"/>
        </w:rPr>
        <w:t xml:space="preserve">” (p. 382). </w:t>
      </w:r>
      <w:r w:rsidRPr="000F186E">
        <w:rPr>
          <w:rStyle w:val="StyleUnderline"/>
          <w:highlight w:val="yellow"/>
        </w:rPr>
        <w:t xml:space="preserve">What counts is not the individual </w:t>
      </w:r>
      <w:r w:rsidRPr="000F186E">
        <w:rPr>
          <w:rStyle w:val="StyleUnderline"/>
        </w:rPr>
        <w:t xml:space="preserve">rate of </w:t>
      </w:r>
      <w:r w:rsidRPr="000F186E">
        <w:rPr>
          <w:rStyle w:val="StyleUnderline"/>
          <w:highlight w:val="yellow"/>
        </w:rPr>
        <w:t xml:space="preserve">refusal </w:t>
      </w:r>
      <w:r w:rsidRPr="000F186E">
        <w:rPr>
          <w:rStyle w:val="StyleUnderline"/>
        </w:rPr>
        <w:t xml:space="preserve">of what medical promotions offer </w:t>
      </w:r>
      <w:r w:rsidRPr="000F186E">
        <w:rPr>
          <w:rStyle w:val="StyleUnderline"/>
          <w:highlight w:val="yellow"/>
        </w:rPr>
        <w:t>but the aggregate density of those promotions</w:t>
      </w:r>
      <w:r w:rsidRPr="000F186E">
        <w:rPr>
          <w:rStyle w:val="StyleUnderline"/>
        </w:rPr>
        <w:t xml:space="preserve">, since these </w:t>
      </w:r>
      <w:r w:rsidRPr="000F186E">
        <w:rPr>
          <w:rStyle w:val="StyleUnderline"/>
          <w:highlight w:val="yellow"/>
        </w:rPr>
        <w:t xml:space="preserve">create </w:t>
      </w:r>
      <w:r w:rsidRPr="000F186E">
        <w:rPr>
          <w:rStyle w:val="StyleUnderline"/>
        </w:rPr>
        <w:t>the “</w:t>
      </w:r>
      <w:r w:rsidRPr="000F186E">
        <w:rPr>
          <w:rStyle w:val="StyleUnderline"/>
          <w:highlight w:val="yellow"/>
        </w:rPr>
        <w:t>ambient social values</w:t>
      </w:r>
      <w:r w:rsidRPr="000F186E">
        <w:rPr>
          <w:sz w:val="10"/>
        </w:rPr>
        <w:t xml:space="preserve">” (Baudrillard, 2000, p. 384) into which the consumer is drawn, gradually and imperceptibly. “Advertising serves as a permanent display of the buying power [read as, therapeutic power], be it real or virtual, of society overall. Whether we partake of it personally or not, we all live and breathe this buying power” (Baudrillard, 2000, p. 384). As medical promotions play with different signs, </w:t>
      </w:r>
      <w:r w:rsidRPr="000F186E">
        <w:rPr>
          <w:rStyle w:val="StyleUnderline"/>
          <w:highlight w:val="yellow"/>
        </w:rPr>
        <w:t>survival value is expressed alongside social value</w:t>
      </w:r>
      <w:r w:rsidRPr="000F186E">
        <w:rPr>
          <w:sz w:val="10"/>
        </w:rPr>
        <w:t xml:space="preserve">; being alive and functioning sit, less uneasily, on the same continuum with enhancements. Signs form a system, and as in any system, each part takes its meaning and value from its reference to the other parts. Baudrillard (1998) argues: Few objects are offered alone, without a context of objects which ‘speaks’ them. And this changes the consumer's relation to the object: he no longer relates to a particular object in its specific utility, but to a set of objects in its total signification. (p. 27) Prior to hoping for artificial knee cartilage and a new back, Starbird (2000) asks, “Where's the new toothpaste that was supposed to come in all different flavors, like hamburgers?” (p. 69). Baudrillard would regard this odd juxtaposition of objects as making perfect sense. The system of consumption depends on each object— flavored toothpaste, simulated hamburger taste, knee cartilage, a new back—taking it a value from its reference to its surrounding objects. As Baudrillard (1998) expresses it: “all of these objects signify one another reciprocally as part of a more complex super-object, drawing the consumer into « series of more complex motivations” (p. 27). Baudrillard’s argument should lead us to reconsider the apparently sensible advice offered by Parens (1998), summarizing a major research project on the ethical implications of enhancement technologies: “I would advise that those who follow our project into the enhancement fields take on smaller and more manageable parcels of it” (p. 26). To take on more manageable parcels is to miss the system of reciprocal significations that consumer society depends on and to miss the motivational force behind specific enhancements within that society. Clinicians who deal with patients individually and have specialized skills to offer particular treatments can easily miss how those patients orient to treatments as signs within a system of signs. </w:t>
      </w:r>
      <w:r w:rsidRPr="000F186E">
        <w:rPr>
          <w:rStyle w:val="StyleUnderline"/>
        </w:rPr>
        <w:t>Parts of the body as sites of consumption elicit the motivations they do because people feel a duty to be happy. and happiness is acquired in the form of signs that refer to each other. No clinician offers any service by itself.</w:t>
      </w:r>
    </w:p>
    <w:p w14:paraId="7E05BD53" w14:textId="77777777" w:rsidR="00F233F4" w:rsidRPr="002A2B6C" w:rsidRDefault="00F233F4" w:rsidP="00F233F4">
      <w:pPr>
        <w:pStyle w:val="Heading4"/>
        <w:rPr>
          <w:rFonts w:eastAsia="MS Gothic" w:cs="Calibri"/>
        </w:rPr>
      </w:pPr>
      <w:r w:rsidRPr="002A2B6C">
        <w:rPr>
          <w:rFonts w:eastAsia="MS Gothic" w:cs="Calibri"/>
        </w:rPr>
        <w:t xml:space="preserve">c. Clash – Tailoring arguments to the format of switch-side deliberation promotes </w:t>
      </w:r>
      <w:r w:rsidRPr="002A2B6C">
        <w:rPr>
          <w:rFonts w:eastAsia="MS Gothic" w:cs="Calibri"/>
          <w:u w:val="single"/>
        </w:rPr>
        <w:t>self-reflexive openness</w:t>
      </w:r>
      <w:r w:rsidRPr="002A2B6C">
        <w:rPr>
          <w:rFonts w:eastAsia="MS Gothic" w:cs="Calibri"/>
        </w:rPr>
        <w:t xml:space="preserve"> – that’s the </w:t>
      </w:r>
      <w:r w:rsidRPr="002A2B6C">
        <w:rPr>
          <w:rFonts w:eastAsia="MS Gothic" w:cs="Calibri"/>
          <w:u w:val="single"/>
        </w:rPr>
        <w:t>best way</w:t>
      </w:r>
      <w:r w:rsidRPr="002A2B6C">
        <w:rPr>
          <w:rFonts w:eastAsia="MS Gothic" w:cs="Calibri"/>
        </w:rPr>
        <w:t xml:space="preserve"> to cause </w:t>
      </w:r>
      <w:r w:rsidRPr="002A2B6C">
        <w:rPr>
          <w:rFonts w:eastAsia="MS Gothic" w:cs="Calibri"/>
          <w:u w:val="single"/>
        </w:rPr>
        <w:t>wide-scale opinion shifts</w:t>
      </w:r>
      <w:r w:rsidRPr="002A2B6C">
        <w:rPr>
          <w:rFonts w:eastAsia="MS Gothic" w:cs="Calibri"/>
        </w:rPr>
        <w:t xml:space="preserve"> over time which have </w:t>
      </w:r>
      <w:r w:rsidRPr="002A2B6C">
        <w:rPr>
          <w:rFonts w:eastAsia="MS Gothic" w:cs="Calibri"/>
          <w:u w:val="single"/>
        </w:rPr>
        <w:t>absolutely no impact on the real world</w:t>
      </w:r>
      <w:r w:rsidRPr="002A2B6C">
        <w:rPr>
          <w:rFonts w:eastAsia="MS Gothic" w:cs="Calibri"/>
        </w:rPr>
        <w:t xml:space="preserve">. Absent </w:t>
      </w:r>
      <w:r w:rsidRPr="002A2B6C">
        <w:rPr>
          <w:rFonts w:eastAsia="MS Gothic" w:cs="Calibri"/>
          <w:u w:val="single"/>
        </w:rPr>
        <w:t>normative meta-consensus</w:t>
      </w:r>
      <w:r w:rsidRPr="002A2B6C">
        <w:rPr>
          <w:rFonts w:eastAsia="MS Gothic" w:cs="Calibri"/>
        </w:rPr>
        <w:t xml:space="preserve"> on </w:t>
      </w:r>
      <w:r w:rsidRPr="002A2B6C">
        <w:rPr>
          <w:rFonts w:eastAsia="MS Gothic" w:cs="Calibri"/>
          <w:u w:val="single"/>
        </w:rPr>
        <w:t>procedural terms</w:t>
      </w:r>
      <w:r w:rsidRPr="002A2B6C">
        <w:rPr>
          <w:rFonts w:eastAsia="MS Gothic" w:cs="Calibri"/>
        </w:rPr>
        <w:t xml:space="preserve"> for debate that guarantee </w:t>
      </w:r>
      <w:r w:rsidRPr="002A2B6C">
        <w:rPr>
          <w:rFonts w:eastAsia="MS Gothic" w:cs="Calibri"/>
          <w:u w:val="single"/>
        </w:rPr>
        <w:t>switch-side deliberative testing</w:t>
      </w:r>
      <w:r w:rsidRPr="002A2B6C">
        <w:rPr>
          <w:rFonts w:eastAsia="MS Gothic" w:cs="Calibri"/>
        </w:rPr>
        <w:t xml:space="preserve"> within </w:t>
      </w:r>
      <w:r w:rsidRPr="002A2B6C">
        <w:rPr>
          <w:rFonts w:eastAsia="MS Gothic" w:cs="Calibri"/>
          <w:u w:val="single"/>
        </w:rPr>
        <w:t>mutually-understood constraints</w:t>
      </w:r>
      <w:r w:rsidRPr="002A2B6C">
        <w:rPr>
          <w:rFonts w:eastAsia="MS Gothic" w:cs="Calibri"/>
        </w:rPr>
        <w:t xml:space="preserve">, we encourage </w:t>
      </w:r>
      <w:r w:rsidRPr="002A2B6C">
        <w:rPr>
          <w:rFonts w:eastAsia="MS Gothic" w:cs="Calibri"/>
          <w:u w:val="single"/>
        </w:rPr>
        <w:t>dogmatism</w:t>
      </w:r>
      <w:r w:rsidRPr="002A2B6C">
        <w:rPr>
          <w:rFonts w:eastAsia="MS Gothic" w:cs="Calibri"/>
        </w:rPr>
        <w:t xml:space="preserve"> and </w:t>
      </w:r>
      <w:r w:rsidRPr="002A2B6C">
        <w:rPr>
          <w:rFonts w:eastAsia="MS Gothic" w:cs="Calibri"/>
          <w:u w:val="single"/>
        </w:rPr>
        <w:t>group polarization</w:t>
      </w:r>
      <w:r w:rsidRPr="002A2B6C">
        <w:rPr>
          <w:rFonts w:eastAsia="MS Gothic" w:cs="Calibri"/>
        </w:rPr>
        <w:t>. And none of that matters at all.</w:t>
      </w:r>
    </w:p>
    <w:p w14:paraId="3D3D1310" w14:textId="77777777" w:rsidR="00F233F4" w:rsidRPr="000901BD" w:rsidRDefault="00F233F4" w:rsidP="00F233F4">
      <w:pPr>
        <w:pStyle w:val="Heading4"/>
        <w:rPr>
          <w:rFonts w:eastAsia="Cambria"/>
        </w:rPr>
      </w:pPr>
      <w:r w:rsidRPr="000901BD">
        <w:rPr>
          <w:rFonts w:eastAsia="MS Gothic"/>
          <w:bCs/>
        </w:rPr>
        <w:t>Mclennan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6B1114AB" w14:textId="498A41A3" w:rsidR="00F233F4" w:rsidRPr="002A2B6C" w:rsidRDefault="00F233F4" w:rsidP="00F233F4">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in light of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r w:rsidRPr="000901BD">
        <w:rPr>
          <w:rFonts w:eastAsia="Cambria"/>
          <w:sz w:val="24"/>
          <w:highlight w:val="green"/>
          <w:u w:val="single"/>
        </w:rPr>
        <w:t>t‘hyperreal’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Cyberblitz’ (Baudrillard, 1972, Chapter 10). In this essay, </w:t>
      </w:r>
      <w:r w:rsidRPr="000901BD">
        <w:rPr>
          <w:rFonts w:eastAsia="Cambria"/>
          <w:sz w:val="24"/>
          <w:u w:val="single"/>
        </w:rPr>
        <w:t>he points to the importance of ‘the passage out of a metallurgic into a semiurgic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semantisation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functionalised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r w:rsidRPr="000901BD">
        <w:rPr>
          <w:rFonts w:eastAsia="Cambria"/>
          <w:sz w:val="24"/>
          <w:u w:val="single"/>
        </w:rPr>
        <w:t>,</w:t>
      </w:r>
      <w:r w:rsidRPr="000901BD">
        <w:rPr>
          <w:rFonts w:eastAsia="Cambria"/>
          <w:sz w:val="12"/>
        </w:rPr>
        <w:t xml:space="preserve"> and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r w:rsidRPr="000901BD">
        <w:rPr>
          <w:rFonts w:eastAsia="Cambria"/>
          <w:b/>
          <w:iCs/>
          <w:sz w:val="24"/>
          <w:u w:val="single"/>
        </w:rPr>
        <w:t xml:space="preserve">functionalised,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representations of class, law or value are said to be grounded in nature: art imitates life and democracy is legitimised by ‘natural rights’</w:t>
      </w:r>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is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r w:rsidRPr="000901BD">
        <w:rPr>
          <w:rFonts w:eastAsia="Cambria"/>
          <w:sz w:val="24"/>
          <w:u w:val="single"/>
        </w:rPr>
        <w:t>second-order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Society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capitalist-productivitist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r w:rsidRPr="000901BD">
        <w:rPr>
          <w:rFonts w:eastAsia="Cambria"/>
          <w:sz w:val="24"/>
          <w:u w:val="single"/>
        </w:rPr>
        <w:t xml:space="preserve">are able to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(Bogard, 1996: 10). For example, </w:t>
      </w:r>
      <w:r w:rsidRPr="000901BD">
        <w:rPr>
          <w:rFonts w:eastAsia="Cambria"/>
          <w:b/>
          <w:iCs/>
          <w:sz w:val="24"/>
          <w:u w:val="single"/>
        </w:rPr>
        <w:t>the code continually sets up simulations of events, which test individuals and ‘[inscribe] them into the simulated order’ through a ‘process of signalisation’</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social organisation is determined by individual’s responses to the pre-coded messages</w:t>
      </w:r>
      <w:r w:rsidRPr="000901BD">
        <w:rPr>
          <w:rFonts w:eastAsia="Cambria"/>
          <w:sz w:val="12"/>
          <w:szCs w:val="12"/>
          <w:u w:val="single"/>
        </w:rPr>
        <w:t xml:space="preserve"> that are derived from simulations of economics, politics, culture or the banal decisions of everyday life</w:t>
      </w:r>
      <w:r w:rsidRPr="000901BD">
        <w:rPr>
          <w:rFonts w:eastAsia="Cambria"/>
          <w:sz w:val="12"/>
        </w:rPr>
        <w:t xml:space="preserve"> (Baudrillard, 1983b: 111). Importantly for the third-order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theorised.</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 xml:space="preserve">—the end of ‘labour,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we are in a new era where media and the consumption of semiotic codes that inform images, have replaced production and political economy as the organising foundation of society</w:t>
      </w:r>
      <w:r w:rsidRPr="000901BD">
        <w:rPr>
          <w:rFonts w:eastAsia="Cambria"/>
          <w:sz w:val="12"/>
        </w:rPr>
        <w:t xml:space="preserve">. For example, </w:t>
      </w:r>
      <w:r w:rsidRPr="000901BD">
        <w:rPr>
          <w:rFonts w:eastAsia="Cambria"/>
          <w:sz w:val="24"/>
          <w:u w:val="single"/>
        </w:rPr>
        <w:t>labour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labour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mobilised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0952C562"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476AEB63" w14:textId="77777777" w:rsidR="00F233F4" w:rsidRPr="008D3236" w:rsidRDefault="00F233F4" w:rsidP="00F233F4">
      <w:r w:rsidRPr="008D3236">
        <w:rPr>
          <w:b/>
          <w:bCs/>
          <w:sz w:val="26"/>
        </w:rPr>
        <w:t>Pawlett 13 - William Pawlett, Senior Lecturer in the School of Law, Social Sciences and Communication at the University of Wolverhampton, in Ashgate Publishing, in 2013</w:t>
      </w:r>
      <w:r w:rsidRPr="008D3236">
        <w:t xml:space="preserve"> ["Violence society and radical theory: Bataille, Baudrillard and contemporary society", https://www.researchgate.net/publication/288148526_Violence_society_and_radical_theory_Bataille_Baudrillard_and_contemporary_society, pg. 33-35, 1-5-2019] recut ahs emi</w:t>
      </w:r>
    </w:p>
    <w:p w14:paraId="6BD503F0" w14:textId="17CF5121" w:rsidR="00F233F4" w:rsidRPr="008D3236" w:rsidRDefault="00F233F4" w:rsidP="00F233F4">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neutralising </w:t>
      </w:r>
      <w:r w:rsidRPr="008D3236">
        <w:rPr>
          <w:sz w:val="10"/>
        </w:rPr>
        <w:t xml:space="preserve">critique and </w:t>
      </w:r>
      <w:r w:rsidRPr="008D3236">
        <w:rPr>
          <w:highlight w:val="yellow"/>
          <w:u w:val="single"/>
        </w:rPr>
        <w:t>political contestation</w:t>
      </w:r>
      <w:r w:rsidRPr="008D3236">
        <w:rPr>
          <w:sz w:val="10"/>
        </w:rPr>
        <w:t xml:space="preserve">. Critique may be neutralised by suppression or mis-representation,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it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Mauss’s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it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r w:rsidRPr="008D3236">
        <w:rPr>
          <w:sz w:val="10"/>
        </w:rPr>
        <w:t xml:space="preserve"> in itself, </w:t>
      </w:r>
      <w:r w:rsidRPr="008D3236">
        <w:rPr>
          <w:u w:val="single"/>
        </w:rPr>
        <w:t xml:space="preserve">the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system has no defences against symbolic reversion</w:t>
      </w:r>
      <w:r w:rsidRPr="008D3236">
        <w:rPr>
          <w:u w:val="single"/>
        </w:rPr>
        <w:t xml:space="preserve"> while it is more than capable of neutralising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favoured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‘potlatching’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the capitalist system does not only draw the life-blood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‘gifts’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‘gifts’</w:t>
      </w:r>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Mauss (1990)? It seems that for both Bataille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Bataillean formulation when he declares that symbolic exchange is “a functional principle sovereignly outside and antagonistic to our economic reality principle” (1993a:  2). Baudrillard comes close to a definition of symbolic exchange with the following:The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6604F942" w14:textId="77777777" w:rsidR="00F233F4" w:rsidRPr="008D3236" w:rsidRDefault="00F233F4" w:rsidP="00F233F4">
      <w:pPr>
        <w:pStyle w:val="Heading4"/>
        <w:rPr>
          <w:rFonts w:eastAsia="MS Gothic"/>
        </w:rPr>
      </w:pPr>
      <w:r w:rsidRPr="008D3236">
        <w:rPr>
          <w:rFonts w:eastAsia="MS Gothic"/>
        </w:rPr>
        <w:t>Now for the paradigm issues:</w:t>
      </w:r>
    </w:p>
    <w:p w14:paraId="67DB488B" w14:textId="77777777" w:rsidR="00F233F4" w:rsidRPr="008D3236" w:rsidRDefault="00F233F4" w:rsidP="00F233F4">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ponzi scheme </w:t>
      </w:r>
    </w:p>
    <w:p w14:paraId="627AE817" w14:textId="77777777" w:rsidR="00F233F4" w:rsidRPr="008D3236" w:rsidRDefault="00F233F4" w:rsidP="00F233F4">
      <w:pPr>
        <w:rPr>
          <w:rFonts w:eastAsia="Cambria"/>
        </w:rPr>
      </w:pPr>
      <w:r w:rsidRPr="008D3236">
        <w:rPr>
          <w:rFonts w:eastAsia="Cambria"/>
          <w:b/>
          <w:bCs/>
          <w:sz w:val="26"/>
        </w:rPr>
        <w:t>Senese and Page 95 - Guy B Senese,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2026B444" w14:textId="60FEFB08" w:rsidR="00F233F4" w:rsidRPr="008D3236" w:rsidRDefault="00F233F4" w:rsidP="00F233F4">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Indeed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Thus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07DE5C7D" w14:textId="77777777" w:rsidR="00F233F4" w:rsidRPr="008D3236" w:rsidRDefault="00F233F4" w:rsidP="00F233F4">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788EDB55" w14:textId="77777777" w:rsidR="00F233F4" w:rsidRPr="008D3236" w:rsidRDefault="00F233F4" w:rsidP="00F233F4">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1B81475D" w14:textId="550A19AA" w:rsidR="00F233F4" w:rsidRPr="008D3236" w:rsidRDefault="00F233F4" w:rsidP="00F233F4">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(i.e.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way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consequentalism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is norm setting ever possible? 2) If an intention based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r w:rsidRPr="008D3236">
        <w:rPr>
          <w:rFonts w:eastAsia="Cambria"/>
          <w:sz w:val="8"/>
        </w:rPr>
        <w:t>objectively/ absolutely</w:t>
      </w:r>
      <w:r w:rsidRPr="008D3236">
        <w:rPr>
          <w:rFonts w:eastAsia="Cambria"/>
          <w:highlight w:val="yellow"/>
          <w:u w:val="single"/>
        </w:rPr>
        <w:t xml:space="preserve"> true,</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r w:rsidRPr="008D3236">
        <w:rPr>
          <w:rFonts w:eastAsia="Cambria"/>
          <w:sz w:val="8"/>
        </w:rPr>
        <w:t xml:space="preserve">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to avoid annoying and assumptive debates about whether or not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claim that fairness is absolutely not a voter.</w:t>
      </w:r>
      <w:r w:rsidRPr="008D3236">
        <w:rPr>
          <w:rFonts w:eastAsia="Cambria"/>
          <w:sz w:val="8"/>
        </w:rPr>
        <w:t xml:space="preserve"> This type of argument generally does not contest if theory itself is unfair or resolvable in a theoretical way, i.e.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analyze theory debates, or</w:t>
      </w:r>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8D3236">
        <w:rPr>
          <w:rFonts w:eastAsia="Cambria"/>
          <w:u w:val="single"/>
        </w:rPr>
        <w:t xml:space="preserve">most of the historical unwillingness is probably rooted in tendency for debaters to use this avenue of argumentation in a </w:t>
      </w:r>
      <w:r w:rsidRPr="008D3236">
        <w:rPr>
          <w:rFonts w:eastAsia="Cambria"/>
          <w:bCs/>
          <w:u w:val="single"/>
        </w:rPr>
        <w:t>blippy fashion</w:t>
      </w:r>
      <w:r w:rsidRPr="008D3236">
        <w:rPr>
          <w:rFonts w:eastAsia="Cambria"/>
          <w:sz w:val="8"/>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preposterous, uneducational,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499B7B73" w14:textId="77777777" w:rsidR="00F233F4" w:rsidRPr="008D3236" w:rsidRDefault="00F233F4" w:rsidP="00F233F4">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6CDBBB3F" w14:textId="77777777" w:rsidR="00F233F4" w:rsidRPr="008D3236" w:rsidRDefault="00F233F4" w:rsidP="00F233F4">
      <w:pPr>
        <w:rPr>
          <w:rFonts w:eastAsia="Cambria"/>
        </w:rPr>
      </w:pPr>
      <w:r w:rsidRPr="008D3236">
        <w:rPr>
          <w:rFonts w:eastAsia="Cambria"/>
          <w:b/>
          <w:bCs/>
          <w:sz w:val="26"/>
        </w:rPr>
        <w:t xml:space="preserve">Pawlett 8 - Dr William Pawlett,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44AB633C" w14:textId="7A19F6EF" w:rsidR="00F233F4" w:rsidRPr="008D3236" w:rsidRDefault="00F233F4" w:rsidP="00F233F4">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emphasise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7E0ADEAB"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020D3937" w14:textId="77777777"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Prefer –</w:t>
      </w:r>
    </w:p>
    <w:p w14:paraId="5058A675" w14:textId="2556ECC3"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 xml:space="preserve">[a] Bindingness – </w:t>
      </w:r>
    </w:p>
    <w:p w14:paraId="73F6A82D" w14:textId="304A16BC" w:rsidR="00F233F4" w:rsidRPr="008D3236" w:rsidRDefault="00F233F4" w:rsidP="00F233F4">
      <w:pPr>
        <w:keepNext/>
        <w:keepLines/>
        <w:spacing w:before="40" w:after="0"/>
        <w:outlineLvl w:val="3"/>
        <w:rPr>
          <w:rFonts w:eastAsia="MS Gothic"/>
          <w:b/>
          <w:iCs/>
          <w:sz w:val="26"/>
        </w:rPr>
      </w:pPr>
      <w:r w:rsidRPr="008D3236">
        <w:rPr>
          <w:rFonts w:eastAsia="MS Gothic"/>
          <w:b/>
          <w:iCs/>
          <w:sz w:val="26"/>
        </w:rPr>
        <w:t xml:space="preserve">[b] Motivation – </w:t>
      </w:r>
    </w:p>
    <w:p w14:paraId="589EB6BD" w14:textId="132FEAA9" w:rsidR="00F233F4" w:rsidRPr="0087154C" w:rsidRDefault="00F233F4" w:rsidP="00F233F4">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p>
    <w:bookmarkEnd w:id="0"/>
    <w:p w14:paraId="5BD55C2E" w14:textId="77777777" w:rsidR="00F233F4" w:rsidRDefault="00F233F4" w:rsidP="00F233F4">
      <w:pPr>
        <w:keepNext/>
        <w:keepLines/>
        <w:spacing w:before="40" w:after="0"/>
        <w:outlineLvl w:val="3"/>
        <w:rPr>
          <w:rFonts w:eastAsia="MS Gothic" w:cs="Times New Roman"/>
          <w:b/>
          <w:iCs/>
          <w:sz w:val="26"/>
        </w:rPr>
      </w:pPr>
      <w:r w:rsidRPr="008D3236">
        <w:rPr>
          <w:rFonts w:eastAsia="MS Gothic" w:cs="Times New Roman"/>
          <w:b/>
          <w:iCs/>
          <w:sz w:val="26"/>
        </w:rPr>
        <w:t xml:space="preserve">[d] All our other cards are reasons as to why the ROB is important. </w:t>
      </w:r>
    </w:p>
    <w:p w14:paraId="233E43A7" w14:textId="77777777" w:rsidR="00F233F4" w:rsidRPr="000901BD" w:rsidRDefault="00F233F4" w:rsidP="00F233F4">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26B62992" w14:textId="77777777" w:rsidR="00F233F4" w:rsidRPr="000901BD" w:rsidRDefault="00F233F4" w:rsidP="00F233F4">
      <w:pPr>
        <w:rPr>
          <w:lang w:eastAsia="ja-JP"/>
        </w:rPr>
      </w:pPr>
      <w:r w:rsidRPr="000901BD">
        <w:rPr>
          <w:b/>
          <w:bCs/>
          <w:sz w:val="26"/>
        </w:rPr>
        <w:t xml:space="preserve">Germain 14 - Gil Germain, Voegelin View, December 13th, 2014 </w:t>
      </w:r>
      <w:r w:rsidRPr="000901BD">
        <w:rPr>
          <w:lang w:eastAsia="ja-JP"/>
        </w:rPr>
        <w:t>“Scientism Unbound: Baudrillard and the Critique of Technology (Part I)” [https://voegelinview.com/scientism-unbound-baudrillard-critique-technology-part-1/] Accessed 8/27/20 SAO</w:t>
      </w:r>
    </w:p>
    <w:p w14:paraId="35659FF4" w14:textId="263F6DFE" w:rsidR="00F233F4" w:rsidRPr="000901BD" w:rsidRDefault="00F233F4" w:rsidP="00F233F4">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matters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opens up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associates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have to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45AA063C" w14:textId="30126113" w:rsidR="00F233F4" w:rsidRPr="00336DB5" w:rsidRDefault="00F233F4" w:rsidP="00F233F4">
      <w:pPr>
        <w:pStyle w:val="Heading4"/>
      </w:pPr>
      <w:r>
        <w:t xml:space="preserve">[6] </w:t>
      </w:r>
      <w:r w:rsidR="00F33F78" w:rsidRPr="00F33F78">
        <w:t>Our ROB is key to create good liberation strategies.</w:t>
      </w:r>
    </w:p>
    <w:p w14:paraId="26BDFF58" w14:textId="77777777" w:rsidR="00F233F4" w:rsidRPr="00336DB5" w:rsidRDefault="00F233F4" w:rsidP="00F233F4">
      <w:r w:rsidRPr="00336DB5">
        <w:rPr>
          <w:rStyle w:val="Style13ptBold"/>
        </w:rPr>
        <w:t xml:space="preserve">Holliday-Karre 15 - Dr. Erin Amann Holliday-Karre, Assistant Professor of Literature at Qatar University, in the Journal Feminist Theory, March 24th, 2015 </w:t>
      </w:r>
      <w:r w:rsidRPr="00336DB5">
        <w:t xml:space="preserve">“The seduction of feminist Theory” [https://journals.sagepub.com/doi/abs/10.1177/1464700114562530] Accessed 1/29/20 SAO </w:t>
      </w:r>
    </w:p>
    <w:p w14:paraId="61F99AC0" w14:textId="22C35D6E" w:rsidR="00F233F4" w:rsidRDefault="00F233F4" w:rsidP="00F233F4">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colour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Baudrillard’s work, many still argue that the work of feminism and Baudrillard’s theory of seduction are incompatible. </w:t>
      </w:r>
      <w:r w:rsidRPr="00336DB5">
        <w:rPr>
          <w:rStyle w:val="StyleUnderline"/>
          <w:highlight w:val="yellow"/>
        </w:rPr>
        <w:t xml:space="preserve">The claim of incongruity </w:t>
      </w:r>
      <w:r w:rsidRPr="00336DB5">
        <w:rPr>
          <w:rStyle w:val="StyleUnderline"/>
        </w:rPr>
        <w:t>between feminist theory and a theory of seduction</w:t>
      </w:r>
      <w:r w:rsidRPr="00336DB5">
        <w:rPr>
          <w:rStyle w:val="StyleUnderline"/>
          <w:highlight w:val="yellow"/>
        </w:rPr>
        <w:t xml:space="preserve"> stems from a belief that feminists must rely on productive strategies, </w:t>
      </w:r>
      <w:r w:rsidRPr="00336DB5">
        <w:rPr>
          <w:rStyle w:val="StyleUnderline"/>
        </w:rPr>
        <w:t xml:space="preserve">using terms such as equality and difference, to empower women. To conceptualise all feminist theory in this way misses the fact that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Irigaray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taking into account the attempts at deconstruction and re-writing from a position of a different ‘difference,’ and of the inevitability of power. There is no seduction here. (2000: 188) According to Grace, many feminists, including Rosi Braidotti, Donna Haraway, and Judith Butler, do not theorise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productivist discourse that Grace finds perpetuated in contemporary feminist theory. However, I argue that the next step in assessing the possibilities of Baudrillard’s work for feminist theory is to recognise those feminists who do employ a strategy of seduction in Baudrillard’s sense of the term. Where Grace (2000: 5) finds no feminist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Rivie`re’s essay, ‘Womanliness as Masquerade’ (1929). Taking Baudrillard’s reference to Rivie`re into account allows for the elucidation of an historical strain of seduction in feminism that I argue can be traced from early feminists, such as Virginia Woolf, to more contemporary feminists, such as He´le`ne Cixous.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is </w:t>
      </w:r>
      <w:r w:rsidRPr="00336DB5">
        <w:rPr>
          <w:sz w:val="8"/>
        </w:rPr>
        <w:t>‘precisely in opposition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Felman can show that contemporary feminist readings of, for example, Don Juan are not so different from Baudrillard’s theory. Felman divorces seduction from terms like ‘sexual manipulation’ and ‘predatory male behavior’, </w:t>
      </w:r>
      <w:r w:rsidRPr="00D14388">
        <w:rPr>
          <w:rStyle w:val="StyleUnderline"/>
        </w:rPr>
        <w:t>situating it within a performative theory of language.</w:t>
      </w:r>
      <w:r w:rsidRPr="00D14388">
        <w:rPr>
          <w:sz w:val="8"/>
        </w:rPr>
        <w:t xml:space="preserve"> For Felman, ‘Don Juan is a myth of scandal precisely to the extent that it is the myth of violation; the violation not of women but of promises to them’ (1983: 11). Locating Don Juan’s transgression not in his behaviour but in the structure of language, Felman argues that the words ‘I promise’ serve to violate the meaning attached to language. Baudrillard and Felman both argue that a cognitive (Baudrillard uses ‘productive’) view defines language as ‘an instrument of knowledge, a means of knowing reality’ (Felman, 1983: 27). But Don Juan’s seduction, says Felman, depends on the point that ‘saying for him, is in no case tantamount to knowing, but rather doing’ (1983: 27). That is, the words ‘I promise’ constitute a certain truth for the person who hears them, and also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Felman.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Thus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In order to recognise feminist writing as seductive, we must emphasise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ideologies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 and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the color red in the fox’s tail’ (Baudrillard, 1990: 74). The boy replies, ‘is that all?’ (Baudrillard, 1990: 74). What happens next is what is, perhaps, most expected. The boy begins to see the colour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is aware of the fact that the boy’s mind will be attracted to a place devoid of significant meaning. But, being unaware of the insignificance of the colour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colour red in the fox’s tail does have meaning in that the colour red contains both a signifier, red, and a signified, the colour that comes to mind. The colour red becomes emptied of meaning only in relation to the way Baudrillard reads the story. He urges the reader to recognise that absurd and artificial signs rule the world to a greater degree than logical ones because of social and political imperatives to create significant meaning. To understand feminist writing as seductive would involve a reading strategy in which feminist theory is recognised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or fixed, ideologies. I argue that where feminism empties words and gestures of meaning, as I show Woolf does with the mulberry tree in Three Guineas (1938), the reader is seduced. I further argue that when feminism employs neither productive value nor opposition to that value, as Rivie`re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recognise seduction in feminist writing. I argue that, in order to discover similarities between Baudrillard’s theory of seduction and the work of feminism, productive reading practices must be abandoned.</w:t>
      </w:r>
    </w:p>
    <w:p w14:paraId="2B1E74D6" w14:textId="58001917" w:rsidR="007C6B60" w:rsidRPr="000D1C6D" w:rsidRDefault="007C6B60" w:rsidP="007C6B60">
      <w:pPr>
        <w:pStyle w:val="Heading4"/>
        <w:rPr>
          <w:sz w:val="12"/>
        </w:rPr>
      </w:pPr>
      <w:r>
        <w:t xml:space="preserve">[7] Implosion- Aff is key to avoid corporate cooption. </w:t>
      </w:r>
    </w:p>
    <w:p w14:paraId="4A74F834" w14:textId="77777777" w:rsidR="007C6B60" w:rsidRDefault="007C6B60" w:rsidP="007C6B60">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0462C128" w14:textId="4E19115C" w:rsidR="007C6B60" w:rsidRPr="007F1EF9" w:rsidRDefault="007C6B60" w:rsidP="007C6B60">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C4AB6">
        <w:rPr>
          <w:rStyle w:val="StyleUnderline"/>
          <w:highlight w:val="yellow"/>
        </w:rPr>
        <w:t xml:space="preserve">the weapons of the previous period are already neutralised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2B033F">
        <w:rPr>
          <w:rStyle w:val="StyleUnderline"/>
        </w:rPr>
        <w:t>riots’</w:t>
      </w:r>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b/>
          <w:bCs/>
          <w:highlight w:val="yellow"/>
        </w:rPr>
        <w:t>protests</w:t>
      </w:r>
      <w:r w:rsidRPr="007F1EF9">
        <w:rPr>
          <w:sz w:val="8"/>
        </w:rPr>
        <w:t xml:space="preserve">, for example, </w:t>
      </w:r>
      <w:r w:rsidRPr="002B033F">
        <w:rPr>
          <w:rStyle w:val="StyleUnderline"/>
          <w:b/>
          <w:bCs/>
          <w:highlight w:val="yellow"/>
        </w:rPr>
        <w:t>do not turn into generalised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b/>
          <w:bCs/>
          <w:highlight w:val="yellow"/>
        </w:rPr>
        <w:t>We are in an era of ‘anomalies without consequences’</w:t>
      </w:r>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
          <w:bCs/>
          <w:highlight w:val="yellow"/>
        </w:rPr>
        <w:t xml:space="preserve">critique </w:t>
      </w:r>
      <w:r w:rsidRPr="007F1EF9">
        <w:rPr>
          <w:sz w:val="8"/>
        </w:rPr>
        <w:t>actually</w:t>
      </w:r>
      <w:r w:rsidRPr="009C4AB6">
        <w:rPr>
          <w:rStyle w:val="StyleUnderline"/>
          <w:b/>
          <w:bCs/>
          <w:highlight w:val="yellow"/>
        </w:rPr>
        <w:t xml:space="preserve"> sustains the system, by giving it a power it doesn’t have</w:t>
      </w:r>
      <w:r w:rsidRPr="007F1EF9">
        <w:rPr>
          <w:sz w:val="8"/>
        </w:rPr>
        <w:t xml:space="preserve">. </w:t>
      </w:r>
      <w:r w:rsidRPr="009C4AB6">
        <w:rPr>
          <w:rStyle w:val="StyleUnderline"/>
          <w:b/>
          <w:bCs/>
          <w:highlight w:val="yellow"/>
        </w:rPr>
        <w:t xml:space="preserve">Trying to confront and destroy the system </w:t>
      </w:r>
      <w:r w:rsidRPr="007F1EF9">
        <w:rPr>
          <w:sz w:val="8"/>
        </w:rPr>
        <w:t>thus inadvertently</w:t>
      </w:r>
      <w:r w:rsidRPr="009C4AB6">
        <w:rPr>
          <w:rStyle w:val="StyleUnderline"/>
          <w:b/>
          <w:bCs/>
          <w:highlight w:val="yellow"/>
        </w:rPr>
        <w:t xml:space="preserve"> revives it, giving it back </w:t>
      </w:r>
      <w:r w:rsidRPr="007F1EF9">
        <w:rPr>
          <w:sz w:val="8"/>
        </w:rPr>
        <w:t>a little bit of</w:t>
      </w:r>
      <w:r w:rsidRPr="009C4AB6">
        <w:rPr>
          <w:rStyle w:val="StyleUnderline"/>
          <w:b/>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r w:rsidRPr="007F1EF9">
        <w:rPr>
          <w:sz w:val="8"/>
        </w:rPr>
        <w:t xml:space="preserve">exacberation,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6FD1D3A2" w14:textId="77777777" w:rsidR="00F33F78" w:rsidRDefault="00F33F78" w:rsidP="00F33F78">
      <w:pPr>
        <w:keepNext/>
        <w:keepLines/>
        <w:spacing w:before="40" w:after="0" w:line="254" w:lineRule="auto"/>
        <w:outlineLvl w:val="3"/>
        <w:rPr>
          <w:rFonts w:eastAsia="Times New Roman" w:cs="Times New Roman"/>
          <w:b/>
          <w:iCs/>
          <w:sz w:val="26"/>
        </w:rPr>
      </w:pPr>
      <w:r w:rsidRPr="00F33F78">
        <w:rPr>
          <w:rStyle w:val="Heading4Char"/>
        </w:rPr>
        <w:t xml:space="preserve"> [8] </w:t>
      </w:r>
      <w:r w:rsidRPr="00F33F78">
        <w:rPr>
          <w:rStyle w:val="Heading4Char"/>
        </w:rPr>
        <w:t>Images of</w:t>
      </w:r>
      <w:r>
        <w:rPr>
          <w:rFonts w:eastAsia="Times New Roman" w:cs="Times New Roman"/>
          <w:b/>
          <w:iCs/>
          <w:sz w:val="26"/>
        </w:rPr>
        <w:t xml:space="preserve"> suffering increase desire for images of suffering. </w:t>
      </w:r>
    </w:p>
    <w:p w14:paraId="5FB0D015" w14:textId="77777777" w:rsidR="00F33F78" w:rsidRDefault="00F33F78" w:rsidP="00F33F78">
      <w:pPr>
        <w:spacing w:line="254" w:lineRule="auto"/>
        <w:rPr>
          <w:rFonts w:eastAsia="Calibri"/>
        </w:rPr>
      </w:pPr>
      <w:r>
        <w:rPr>
          <w:rFonts w:eastAsia="Calibri"/>
          <w:b/>
          <w:bCs/>
          <w:sz w:val="26"/>
        </w:rPr>
        <w:t>Alford 20 - Aaron J. Alford, Medium, January 13th, 2020</w:t>
      </w:r>
      <w:r>
        <w:rPr>
          <w:rFonts w:eastAsia="Calibri"/>
          <w:b/>
          <w:bCs/>
          <w:sz w:val="8"/>
          <w:szCs w:val="4"/>
        </w:rPr>
        <w:t xml:space="preserve"> </w:t>
      </w:r>
      <w:r>
        <w:rPr>
          <w:rFonts w:eastAsia="Calibri"/>
          <w:sz w:val="4"/>
          <w:szCs w:val="4"/>
        </w:rPr>
        <w:t>“Disaster Pornography and the American Media”[</w:t>
      </w:r>
      <w:hyperlink r:id="rId6" w:history="1">
        <w:r>
          <w:rPr>
            <w:rStyle w:val="Hyperlink"/>
            <w:rFonts w:eastAsia="Calibri"/>
            <w:sz w:val="4"/>
            <w:szCs w:val="4"/>
          </w:rPr>
          <w:t>https://medium.com/@aaronjalford1/disaster-pornography-and-the-american-media-f01ee1cb4512</w:t>
        </w:r>
      </w:hyperlink>
      <w:r>
        <w:rPr>
          <w:rFonts w:eastAsia="Calibri"/>
          <w:sz w:val="4"/>
          <w:szCs w:val="4"/>
        </w:rPr>
        <w:t>] Accessed 1/30/20 SAO</w:t>
      </w:r>
      <w:r>
        <w:rPr>
          <w:rFonts w:eastAsia="Calibri"/>
          <w:sz w:val="2"/>
          <w:szCs w:val="2"/>
        </w:rPr>
        <w:t xml:space="preserve"> </w:t>
      </w:r>
    </w:p>
    <w:p w14:paraId="1D2B9491" w14:textId="77777777" w:rsidR="00F33F78" w:rsidRDefault="00F33F78" w:rsidP="00F33F78">
      <w:pPr>
        <w:spacing w:line="254" w:lineRule="auto"/>
        <w:rPr>
          <w:rFonts w:eastAsia="MS Gothic"/>
          <w:b/>
          <w:iCs/>
          <w:sz w:val="26"/>
          <w:u w:val="single"/>
        </w:rPr>
      </w:pPr>
      <w:r>
        <w:rPr>
          <w:rFonts w:eastAsia="Calibri"/>
          <w:sz w:val="8"/>
        </w:rPr>
        <w:t xml:space="preserve">Most of us are familiar with the concept of pornography, at least sexual pornography: Images or media meant to titillate your arousal. Similarly, </w:t>
      </w:r>
      <w:r>
        <w:rPr>
          <w:rFonts w:eastAsia="Calibri"/>
          <w:u w:val="single"/>
        </w:rPr>
        <w:t xml:space="preserve">the </w:t>
      </w:r>
      <w:r>
        <w:rPr>
          <w:rFonts w:eastAsia="Calibri"/>
          <w:highlight w:val="yellow"/>
          <w:u w:val="single"/>
        </w:rPr>
        <w:t xml:space="preserve">images of catastrophe and destruction </w:t>
      </w:r>
      <w:r>
        <w:rPr>
          <w:rFonts w:eastAsia="Calibri"/>
          <w:u w:val="single"/>
        </w:rPr>
        <w:t xml:space="preserve">presented by the news media </w:t>
      </w:r>
      <w:r>
        <w:rPr>
          <w:rFonts w:eastAsia="Calibri"/>
          <w:highlight w:val="yellow"/>
          <w:u w:val="single"/>
        </w:rPr>
        <w:t>are like a drug, used by first world nations to feed off the suffering of the rest of the world</w:t>
      </w:r>
      <w:r>
        <w:rPr>
          <w:rFonts w:eastAsia="Calibri"/>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Pr>
          <w:rFonts w:eastAsia="Calibri"/>
          <w:b/>
          <w:bCs/>
          <w:highlight w:val="yellow"/>
          <w:u w:val="single"/>
        </w:rPr>
        <w:t>Our news media is trying to get you addicted to violence, so they can sell you more ads</w:t>
      </w:r>
      <w:r>
        <w:rPr>
          <w:rFonts w:eastAsia="Calibri"/>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Pr>
          <w:rFonts w:eastAsia="Calibri"/>
          <w:highlight w:val="yellow"/>
          <w:u w:val="single"/>
        </w:rPr>
        <w:t>The Iran war effort is being pushed</w:t>
      </w:r>
      <w:r>
        <w:rPr>
          <w:rFonts w:eastAsia="Calibri"/>
          <w:sz w:val="8"/>
        </w:rPr>
        <w:t xml:space="preserve">, as I write, </w:t>
      </w:r>
      <w:r>
        <w:rPr>
          <w:rFonts w:eastAsia="Calibri"/>
          <w:highlight w:val="yellow"/>
          <w:u w:val="single"/>
        </w:rPr>
        <w:t>by American media</w:t>
      </w:r>
      <w:r>
        <w:rPr>
          <w:rFonts w:eastAsia="Calibri"/>
          <w:sz w:val="8"/>
        </w:rPr>
        <w:t xml:space="preserve">. Take for example the New York Times coverage of a missile strike compared to Al Jazeera’s coverage of the same missile strike. One is factual, the other wants you to imagine your favorite Iron Man movie. </w:t>
      </w:r>
      <w:r>
        <w:rPr>
          <w:rFonts w:eastAsia="Calibri"/>
          <w:highlight w:val="yellow"/>
          <w:u w:val="single"/>
        </w:rPr>
        <w:t xml:space="preserve">The </w:t>
      </w:r>
      <w:r>
        <w:rPr>
          <w:rFonts w:eastAsia="Calibri"/>
          <w:b/>
          <w:bCs/>
          <w:highlight w:val="yellow"/>
          <w:u w:val="single"/>
        </w:rPr>
        <w:t>New York Times wants to feed your wildest fantasies</w:t>
      </w:r>
      <w:r>
        <w:rPr>
          <w:rFonts w:eastAsia="Calibri"/>
          <w:highlight w:val="yellow"/>
          <w:u w:val="single"/>
        </w:rPr>
        <w:t xml:space="preserve"> about the glory of war, </w:t>
      </w:r>
      <w:r>
        <w:rPr>
          <w:rFonts w:eastAsia="Calibri"/>
          <w:sz w:val="8"/>
        </w:rPr>
        <w:t>and how beautiful it is.</w:t>
      </w:r>
      <w:r>
        <w:rPr>
          <w:rFonts w:eastAsia="Calibri"/>
          <w:highlight w:val="yellow"/>
          <w:u w:val="single"/>
        </w:rPr>
        <w:t xml:space="preserve"> Al Jazeera, </w:t>
      </w:r>
      <w:r>
        <w:rPr>
          <w:rFonts w:eastAsia="Calibri"/>
          <w:u w:val="single"/>
        </w:rPr>
        <w:t xml:space="preserve">the non-western source, </w:t>
      </w:r>
      <w:r>
        <w:rPr>
          <w:rFonts w:eastAsia="Calibri"/>
          <w:highlight w:val="yellow"/>
          <w:u w:val="single"/>
        </w:rPr>
        <w:t xml:space="preserve">simply reported the facts. </w:t>
      </w:r>
      <w:r>
        <w:rPr>
          <w:rFonts w:eastAsia="Calibri"/>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Pr>
          <w:rFonts w:eastAsia="Calibri"/>
          <w:highlight w:val="yellow"/>
          <w:u w:val="single"/>
        </w:rPr>
        <w:t xml:space="preserve">when the disaster market </w:t>
      </w:r>
      <w:r>
        <w:rPr>
          <w:rFonts w:eastAsia="Calibri"/>
          <w:sz w:val="8"/>
        </w:rPr>
        <w:t>from around the world</w:t>
      </w:r>
      <w:r>
        <w:rPr>
          <w:rFonts w:eastAsia="Calibri"/>
          <w:u w:val="single"/>
        </w:rPr>
        <w:t xml:space="preserve"> </w:t>
      </w:r>
      <w:r>
        <w:rPr>
          <w:rFonts w:eastAsia="Calibri"/>
          <w:highlight w:val="yellow"/>
          <w:u w:val="single"/>
        </w:rPr>
        <w:t xml:space="preserve">slows down, the west will </w:t>
      </w:r>
      <w:r>
        <w:rPr>
          <w:rFonts w:eastAsia="Calibri"/>
          <w:sz w:val="8"/>
        </w:rPr>
        <w:t xml:space="preserve">turn inward and </w:t>
      </w:r>
      <w:r>
        <w:rPr>
          <w:rFonts w:eastAsia="Calibri"/>
          <w:b/>
          <w:bCs/>
          <w:highlight w:val="yellow"/>
          <w:u w:val="single"/>
        </w:rPr>
        <w:t>produce its own spectacles of disaster</w:t>
      </w:r>
      <w:r>
        <w:rPr>
          <w:rFonts w:eastAsia="Calibri"/>
          <w:sz w:val="8"/>
        </w:rPr>
        <w:t xml:space="preserve">. Brexit and the election of white nationalists in America are great examples of what Baudrillard warned of. Another example of this cycle of catastrophe is president Donald Trump’s election. </w:t>
      </w:r>
      <w:r>
        <w:rPr>
          <w:rFonts w:eastAsia="Calibri"/>
          <w:highlight w:val="yellow"/>
          <w:u w:val="single"/>
        </w:rPr>
        <w:t xml:space="preserve">Donald Trump received 2 billion dollars of free </w:t>
      </w:r>
      <w:r>
        <w:rPr>
          <w:rFonts w:eastAsia="Calibri"/>
          <w:u w:val="single"/>
        </w:rPr>
        <w:t xml:space="preserve">television </w:t>
      </w:r>
      <w:r>
        <w:rPr>
          <w:rFonts w:eastAsia="Calibri"/>
          <w:highlight w:val="yellow"/>
          <w:u w:val="single"/>
        </w:rPr>
        <w:t xml:space="preserve">coverage </w:t>
      </w:r>
      <w:r>
        <w:rPr>
          <w:rFonts w:eastAsia="Calibri"/>
          <w:u w:val="single"/>
        </w:rPr>
        <w:t>in 2016</w:t>
      </w:r>
      <w:r>
        <w:rPr>
          <w:rFonts w:eastAsia="Calibri"/>
          <w:sz w:val="8"/>
        </w:rPr>
        <w:t xml:space="preserve"> leading up to his election. The media could not get enough of this crazy television host billionaire who thought he would be a good president. The truth is that </w:t>
      </w:r>
      <w:r>
        <w:rPr>
          <w:rFonts w:eastAsia="Calibri"/>
          <w:highlight w:val="yellow"/>
          <w:u w:val="single"/>
        </w:rPr>
        <w:t xml:space="preserve">the media </w:t>
      </w:r>
      <w:r>
        <w:rPr>
          <w:rFonts w:eastAsia="Calibri"/>
          <w:u w:val="single"/>
        </w:rPr>
        <w:t xml:space="preserve">always </w:t>
      </w:r>
      <w:r>
        <w:rPr>
          <w:rFonts w:eastAsia="Calibri"/>
          <w:highlight w:val="yellow"/>
          <w:u w:val="single"/>
        </w:rPr>
        <w:t xml:space="preserve">wanted him </w:t>
      </w:r>
      <w:r>
        <w:rPr>
          <w:rFonts w:eastAsia="Calibri"/>
          <w:sz w:val="8"/>
        </w:rPr>
        <w:t xml:space="preserve">to be the president, the source of constant disasters both here and abroad. </w:t>
      </w:r>
      <w:r>
        <w:rPr>
          <w:rFonts w:eastAsia="Calibri"/>
          <w:highlight w:val="yellow"/>
          <w:u w:val="single"/>
        </w:rPr>
        <w:t>Donald Trump is a president who: Impulse killed an Iranian General</w:t>
      </w:r>
      <w:r>
        <w:rPr>
          <w:rFonts w:eastAsia="Calibri"/>
          <w:sz w:val="8"/>
          <w:highlight w:val="yellow"/>
        </w:rPr>
        <w:t xml:space="preserve"> </w:t>
      </w:r>
      <w:r>
        <w:rPr>
          <w:rFonts w:eastAsia="Calibri"/>
          <w:sz w:val="8"/>
        </w:rPr>
        <w:t xml:space="preserve">without a declaration of war Cut taxes for the rich and raised taxes on the poor </w:t>
      </w:r>
      <w:r>
        <w:rPr>
          <w:rFonts w:eastAsia="Calibri"/>
          <w:highlight w:val="yellow"/>
          <w:u w:val="single"/>
        </w:rPr>
        <w:t>Put</w:t>
      </w:r>
      <w:r>
        <w:rPr>
          <w:rFonts w:eastAsia="Calibri"/>
          <w:sz w:val="8"/>
          <w:highlight w:val="yellow"/>
        </w:rPr>
        <w:t xml:space="preserve"> </w:t>
      </w:r>
      <w:r>
        <w:rPr>
          <w:rFonts w:eastAsia="Calibri"/>
          <w:sz w:val="8"/>
        </w:rPr>
        <w:t xml:space="preserve">children, including </w:t>
      </w:r>
      <w:r>
        <w:rPr>
          <w:rFonts w:eastAsia="Calibri"/>
          <w:highlight w:val="yellow"/>
          <w:u w:val="single"/>
        </w:rPr>
        <w:t>babies, in cages</w:t>
      </w:r>
      <w:r>
        <w:rPr>
          <w:rFonts w:eastAsia="Calibri"/>
          <w:sz w:val="8"/>
          <w:highlight w:val="yellow"/>
        </w:rPr>
        <w:t xml:space="preserve"> </w:t>
      </w:r>
      <w:r>
        <w:rPr>
          <w:rFonts w:eastAsia="Calibri"/>
          <w:sz w:val="8"/>
        </w:rPr>
        <w:t xml:space="preserve">at the border </w:t>
      </w:r>
      <w:r>
        <w:rPr>
          <w:rFonts w:eastAsia="Calibri"/>
          <w:highlight w:val="yellow"/>
          <w:u w:val="single"/>
        </w:rPr>
        <w:t>Bullied a 15 year old</w:t>
      </w:r>
      <w:r>
        <w:rPr>
          <w:rFonts w:eastAsia="Calibri"/>
          <w:sz w:val="8"/>
          <w:highlight w:val="yellow"/>
        </w:rPr>
        <w:t xml:space="preserve"> </w:t>
      </w:r>
      <w:r>
        <w:rPr>
          <w:rFonts w:eastAsia="Calibri"/>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Pr>
          <w:rFonts w:eastAsia="Calibri"/>
          <w:highlight w:val="yellow"/>
          <w:u w:val="single"/>
        </w:rPr>
        <w:t>got impeached</w:t>
      </w:r>
      <w:r>
        <w:rPr>
          <w:rFonts w:eastAsia="Calibri"/>
          <w:sz w:val="8"/>
          <w:highlight w:val="yellow"/>
        </w:rPr>
        <w:t xml:space="preserve"> </w:t>
      </w:r>
      <w:r>
        <w:rPr>
          <w:rFonts w:eastAsia="Calibri"/>
          <w:sz w:val="8"/>
        </w:rPr>
        <w:t xml:space="preserve">for it Nominated a rapist to the Supreme Court </w:t>
      </w:r>
      <w:r>
        <w:rPr>
          <w:rFonts w:eastAsia="Calibri"/>
          <w:highlight w:val="yellow"/>
          <w:u w:val="single"/>
        </w:rPr>
        <w:t>Supported known child molester</w:t>
      </w:r>
      <w:r>
        <w:rPr>
          <w:rFonts w:eastAsia="Calibri"/>
          <w:sz w:val="8"/>
          <w:highlight w:val="yellow"/>
        </w:rPr>
        <w:t xml:space="preserve"> </w:t>
      </w:r>
      <w:r>
        <w:rPr>
          <w:rFonts w:eastAsia="Calibri"/>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Pr>
          <w:rFonts w:eastAsia="Calibri"/>
          <w:highlight w:val="yellow"/>
          <w:u w:val="single"/>
        </w:rPr>
        <w:t xml:space="preserve"> </w:t>
      </w:r>
      <w:r>
        <w:rPr>
          <w:rFonts w:eastAsia="Calibri"/>
          <w:b/>
          <w:bCs/>
          <w:highlight w:val="yellow"/>
          <w:u w:val="single"/>
        </w:rPr>
        <w:t>a walking disaster maker, and the media worships him for it</w:t>
      </w:r>
    </w:p>
    <w:p w14:paraId="0A3F13E6" w14:textId="2BEF3779" w:rsidR="00F33F78" w:rsidRDefault="00F33F78" w:rsidP="00F33F78">
      <w:pPr>
        <w:pStyle w:val="Heading4"/>
      </w:pPr>
      <w:r>
        <w:t xml:space="preserve"> [9] Implosive strategies o/w </w:t>
      </w:r>
    </w:p>
    <w:p w14:paraId="12430AC9" w14:textId="567FC0C6" w:rsidR="00A95652" w:rsidRPr="00B55AD5" w:rsidRDefault="00F33F78" w:rsidP="00F33F78">
      <w:pPr>
        <w:pStyle w:val="Heading4"/>
      </w:pPr>
      <w:r>
        <w:t xml:space="preserve">[10] No presumption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33F4"/>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A11"/>
    <w:rsid w:val="00722258"/>
    <w:rsid w:val="007243E5"/>
    <w:rsid w:val="00766EA0"/>
    <w:rsid w:val="007A2226"/>
    <w:rsid w:val="007C6B60"/>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845"/>
    <w:rsid w:val="00D325A9"/>
    <w:rsid w:val="00D36A8A"/>
    <w:rsid w:val="00D61409"/>
    <w:rsid w:val="00D6691E"/>
    <w:rsid w:val="00D71170"/>
    <w:rsid w:val="00DA1C92"/>
    <w:rsid w:val="00DA25D4"/>
    <w:rsid w:val="00DA6538"/>
    <w:rsid w:val="00DB43F5"/>
    <w:rsid w:val="00E15E75"/>
    <w:rsid w:val="00E5262C"/>
    <w:rsid w:val="00EC7DC4"/>
    <w:rsid w:val="00ED30CF"/>
    <w:rsid w:val="00F176EF"/>
    <w:rsid w:val="00F233F4"/>
    <w:rsid w:val="00F33F7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8962"/>
  <w15:chartTrackingRefBased/>
  <w15:docId w15:val="{7A46E47F-0743-4796-9E3D-93248D76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33F4"/>
    <w:rPr>
      <w:rFonts w:ascii="Calibri" w:hAnsi="Calibri" w:cs="Calibri"/>
    </w:rPr>
  </w:style>
  <w:style w:type="paragraph" w:styleId="Heading1">
    <w:name w:val="heading 1"/>
    <w:aliases w:val="Pocket"/>
    <w:basedOn w:val="Normal"/>
    <w:next w:val="Normal"/>
    <w:link w:val="Heading1Char"/>
    <w:qFormat/>
    <w:rsid w:val="00F233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33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33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t"/>
    <w:basedOn w:val="Normal"/>
    <w:next w:val="Normal"/>
    <w:link w:val="Heading4Char"/>
    <w:uiPriority w:val="3"/>
    <w:unhideWhenUsed/>
    <w:qFormat/>
    <w:rsid w:val="00F233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33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3F4"/>
  </w:style>
  <w:style w:type="character" w:customStyle="1" w:styleId="Heading1Char">
    <w:name w:val="Heading 1 Char"/>
    <w:aliases w:val="Pocket Char"/>
    <w:basedOn w:val="DefaultParagraphFont"/>
    <w:link w:val="Heading1"/>
    <w:rsid w:val="00F233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33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33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3"/>
    <w:rsid w:val="00F233F4"/>
    <w:rPr>
      <w:rFonts w:ascii="Calibri" w:eastAsiaTheme="majorEastAsia" w:hAnsi="Calibri" w:cstheme="majorBidi"/>
      <w:b/>
      <w:iCs/>
      <w:sz w:val="26"/>
    </w:rPr>
  </w:style>
  <w:style w:type="character" w:styleId="Emphasis">
    <w:name w:val="Emphasis"/>
    <w:aliases w:val="emphasis in card,Minimized,tag2,Size 10,Evidence,minimized,Highlighted,CD Card,ED - Tag,emphasis,Emphasis!!,Qualifications,normal card text,Shrunk,bold underline,qualifications in card,qualifications,Box,Debate,small,Bold Underline,Style1,s,/"/>
    <w:basedOn w:val="DefaultParagraphFont"/>
    <w:link w:val="textbold"/>
    <w:uiPriority w:val="7"/>
    <w:qFormat/>
    <w:rsid w:val="00F233F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33F4"/>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F233F4"/>
    <w:rPr>
      <w:b w:val="0"/>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F233F4"/>
    <w:rPr>
      <w:color w:val="auto"/>
      <w:u w:val="none"/>
    </w:rPr>
  </w:style>
  <w:style w:type="character" w:styleId="FollowedHyperlink">
    <w:name w:val="FollowedHyperlink"/>
    <w:basedOn w:val="DefaultParagraphFont"/>
    <w:uiPriority w:val="99"/>
    <w:semiHidden/>
    <w:unhideWhenUsed/>
    <w:rsid w:val="00F233F4"/>
    <w:rPr>
      <w:color w:val="auto"/>
      <w:u w:val="none"/>
    </w:rPr>
  </w:style>
  <w:style w:type="paragraph" w:customStyle="1" w:styleId="textbold">
    <w:name w:val="text bold"/>
    <w:basedOn w:val="Normal"/>
    <w:link w:val="Emphasis"/>
    <w:uiPriority w:val="7"/>
    <w:qFormat/>
    <w:rsid w:val="00F233F4"/>
    <w:pPr>
      <w:ind w:left="720"/>
      <w:jc w:val="both"/>
    </w:pPr>
    <w:rPr>
      <w:b/>
      <w:iCs/>
      <w:sz w:val="26"/>
      <w:u w:val="single"/>
    </w:rPr>
  </w:style>
  <w:style w:type="paragraph" w:styleId="ListParagraph">
    <w:name w:val="List Paragraph"/>
    <w:aliases w:val="6 font"/>
    <w:basedOn w:val="Normal"/>
    <w:uiPriority w:val="99"/>
    <w:qFormat/>
    <w:rsid w:val="00F23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13625</Words>
  <Characters>77669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2021-09-24T14:16:00Z</dcterms:created>
  <dcterms:modified xsi:type="dcterms:W3CDTF">2021-09-24T16:06:00Z</dcterms:modified>
</cp:coreProperties>
</file>