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AED01" w14:textId="77777777" w:rsidR="00F671D0" w:rsidRDefault="00F671D0" w:rsidP="00F671D0">
      <w:pPr>
        <w:pStyle w:val="Heading3"/>
      </w:pPr>
      <w:r>
        <w:t>Framework</w:t>
      </w:r>
    </w:p>
    <w:p w14:paraId="2DF3050C" w14:textId="77777777" w:rsidR="00F671D0" w:rsidRPr="00334ED3" w:rsidRDefault="00F671D0" w:rsidP="00F671D0">
      <w:pPr>
        <w:pStyle w:val="Heading4"/>
      </w:pPr>
      <w:r w:rsidRPr="00334ED3">
        <w:t xml:space="preserve">I value morality. </w:t>
      </w:r>
      <w:r>
        <w:t>Ethical Internalism is true</w:t>
      </w:r>
      <w:r w:rsidRPr="00334ED3">
        <w:t xml:space="preserve">: </w:t>
      </w:r>
    </w:p>
    <w:p w14:paraId="5F157459" w14:textId="77777777" w:rsidR="00F671D0" w:rsidRPr="00FF16B5" w:rsidRDefault="00F671D0" w:rsidP="00F671D0">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r w:rsidRPr="00334ED3">
        <w:rPr>
          <w:u w:val="single"/>
        </w:rPr>
        <w:t>Markovits 14,</w:t>
      </w:r>
      <w:r w:rsidRPr="00334ED3">
        <w:t xml:space="preserve"> </w:t>
      </w:r>
      <w:r w:rsidRPr="00FF16B5">
        <w:rPr>
          <w:b w:val="0"/>
          <w:sz w:val="12"/>
          <w:szCs w:val="12"/>
        </w:rPr>
        <w:t>Markovits, Julia. Moral reason. Oxford University Press, 2014.//Scopa</w:t>
      </w:r>
      <w:r>
        <w:rPr>
          <w:b w:val="0"/>
          <w:sz w:val="12"/>
          <w:szCs w:val="12"/>
        </w:rPr>
        <w:t xml:space="preserve"> </w:t>
      </w:r>
      <w:r w:rsidRPr="00FF16B5">
        <w:rPr>
          <w:b w:val="0"/>
          <w:sz w:val="12"/>
        </w:rPr>
        <w:t xml:space="preserve">Relatedly, internalism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internalism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do and pursue and protect and respect and promote. </w:t>
      </w:r>
      <w:r w:rsidRPr="00CE2CDB">
        <w:rPr>
          <w:highlight w:val="yellow"/>
          <w:u w:val="single"/>
        </w:rPr>
        <w:t>Some</w:t>
      </w:r>
      <w:r w:rsidRPr="00FF16B5">
        <w:rPr>
          <w:u w:val="single"/>
        </w:rPr>
        <w:t xml:space="preserve"> of us  </w:t>
      </w:r>
      <w:r w:rsidRPr="00CE2CDB">
        <w:rPr>
          <w:highlight w:val="yellow"/>
          <w:u w:val="single"/>
        </w:rPr>
        <w:t>happen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551D761D" w14:textId="77777777" w:rsidR="00F671D0" w:rsidRPr="006901B2" w:rsidRDefault="00F671D0" w:rsidP="00F671D0">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thoughts but I can control the deliberation between them which solves epistemic skep about my ability to have true beliefs</w:t>
      </w:r>
      <w:r>
        <w:t>.</w:t>
      </w:r>
    </w:p>
    <w:p w14:paraId="66491312" w14:textId="77777777" w:rsidR="00F671D0" w:rsidRDefault="00F671D0" w:rsidP="00F671D0">
      <w:pPr>
        <w:pStyle w:val="Heading4"/>
      </w:pPr>
      <w:r>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1C6D7FE5" w14:textId="77777777" w:rsidR="00F671D0" w:rsidRPr="00A15583" w:rsidRDefault="00F671D0" w:rsidP="00F671D0">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w:t>
      </w:r>
    </w:p>
    <w:p w14:paraId="2FD02C50" w14:textId="77777777" w:rsidR="00F671D0" w:rsidRPr="00D16ADD" w:rsidRDefault="00F671D0" w:rsidP="00F671D0">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internalism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say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Carnap’s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r w:rsidRPr="00D16ADD">
        <w:rPr>
          <w:rFonts w:eastAsia="Calibri" w:cs="Times New Roman"/>
          <w:u w:val="single"/>
        </w:rPr>
        <w:t>ask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6040D4C6" w14:textId="77777777" w:rsidR="00F671D0" w:rsidRDefault="00F671D0" w:rsidP="00F671D0">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Contractarianism?,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agent ’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to choice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mode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on the whole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513C7A">
        <w:rPr>
          <w:rFonts w:eastAsia="Calibri" w:cs="Times New Roman"/>
          <w:u w:val="single"/>
        </w:rPr>
        <w:t xml:space="preserve">in representing our preferences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w:t>
      </w:r>
      <w:r w:rsidRPr="003B78D7">
        <w:rPr>
          <w:rFonts w:eastAsia="Calibri" w:cs="Times New Roman"/>
          <w:u w:val="single"/>
        </w:rPr>
        <w:t xml:space="preserve">an </w:t>
      </w:r>
      <w:r w:rsidRPr="00513C7A">
        <w:rPr>
          <w:rFonts w:eastAsia="Calibri" w:cs="Times New Roman"/>
          <w:highlight w:val="yellow"/>
          <w:u w:val="single"/>
        </w:rPr>
        <w:t>extramoral</w:t>
      </w:r>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322F965C" w14:textId="77777777" w:rsidR="00F671D0" w:rsidRPr="00513C7A" w:rsidRDefault="00F671D0" w:rsidP="00F671D0">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mutual self restraint</w:t>
      </w:r>
      <w:r w:rsidRPr="00513C7A">
        <w:rPr>
          <w:b/>
          <w:iCs/>
          <w:sz w:val="26"/>
        </w:rPr>
        <w:t xml:space="preserve"> where agents  refrain from impeding upon the actions of other agents, under the expectation that others will d</w:t>
      </w:r>
      <w:r>
        <w:rPr>
          <w:b/>
          <w:iCs/>
          <w:sz w:val="26"/>
        </w:rPr>
        <w:t>o</w:t>
      </w:r>
      <w:r w:rsidRPr="00513C7A">
        <w:rPr>
          <w:b/>
          <w:iCs/>
          <w:sz w:val="26"/>
        </w:rPr>
        <w:t xml:space="preserve"> the same out of rational self interest. This is achieved through a system of contracts which both parties’ consent to in order to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Contractarianism?,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can have reason to accept any unilateral constraint on her maximizing behavior; each benefits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agreed constraint makes no reference to the content of anyone ’ s preferences</w:t>
      </w:r>
      <w:r w:rsidRPr="00513C7A">
        <w:rPr>
          <w:rFonts w:eastAsia="Calibri"/>
          <w:sz w:val="12"/>
          <w:szCs w:val="12"/>
        </w:rPr>
        <w:t xml:space="preserve">. The argument depends simply on the structure of interaction, on the way in which each person ’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each person ’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manner in which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66A80682" w14:textId="77777777" w:rsidR="00F671D0" w:rsidRDefault="00F671D0" w:rsidP="00F671D0">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And, the framework outweighs on actor specificity: States are not physical actors, but derive authority from contracts that </w:t>
      </w:r>
      <w:r>
        <w:t>allow them</w:t>
      </w:r>
      <w:r w:rsidRPr="004A3068">
        <w:t xml:space="preserve"> to constrain action. </w:t>
      </w:r>
    </w:p>
    <w:p w14:paraId="570EA72E" w14:textId="77777777" w:rsidR="00F671D0" w:rsidRPr="00F119C7" w:rsidRDefault="00F671D0" w:rsidP="00F671D0">
      <w:pPr>
        <w:pStyle w:val="Heading4"/>
      </w:pPr>
      <w:r w:rsidRPr="00F119C7">
        <w:t xml:space="preserve">Prefer additionally – </w:t>
      </w:r>
    </w:p>
    <w:p w14:paraId="68307683" w14:textId="77777777" w:rsidR="00F671D0" w:rsidRDefault="00F671D0" w:rsidP="00F671D0">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r>
        <w:t>self interest</w:t>
      </w:r>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263F6186" w14:textId="77777777" w:rsidR="00F671D0" w:rsidRPr="00F119C7" w:rsidRDefault="00F671D0" w:rsidP="00F671D0">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688D14AA" w14:textId="77777777" w:rsidR="00F671D0" w:rsidRDefault="00F671D0" w:rsidP="00F671D0">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principle B) Debates – When we compare between frameworks we suppose a higher evaluative mechanism, which presupposes a higher one, which means only self-contained rules in contracts are coherent. </w:t>
      </w:r>
    </w:p>
    <w:p w14:paraId="075EA670" w14:textId="77777777" w:rsidR="00F671D0" w:rsidRPr="00765CAB" w:rsidRDefault="00F671D0" w:rsidP="00F671D0">
      <w:pPr>
        <w:pStyle w:val="Heading4"/>
      </w:pPr>
      <w:r>
        <w:t>4. Reject consequences -</w:t>
      </w:r>
    </w:p>
    <w:p w14:paraId="5523C0A5" w14:textId="77777777" w:rsidR="00F671D0" w:rsidRDefault="00F671D0" w:rsidP="00F671D0">
      <w:pPr>
        <w:pStyle w:val="Heading4"/>
        <w:rPr>
          <w:rFonts w:cs="Times New Roman"/>
        </w:rPr>
      </w:pPr>
      <w:r>
        <w:rPr>
          <w:rFonts w:cs="Times New Roman"/>
        </w:rPr>
        <w:t xml:space="preserve">a.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57A26F5A" w14:textId="77777777" w:rsidR="00F671D0" w:rsidRDefault="00F671D0" w:rsidP="00F671D0">
      <w:pPr>
        <w:pStyle w:val="Heading4"/>
        <w:rPr>
          <w:rFonts w:cs="Times New Roman"/>
        </w:rPr>
      </w:pPr>
      <w:r>
        <w:rPr>
          <w:rFonts w:cs="Times New Roman"/>
        </w:rPr>
        <w:t xml:space="preserve">b.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0D96C1BD" w14:textId="77777777" w:rsidR="00F671D0" w:rsidRDefault="00F671D0" w:rsidP="00F671D0">
      <w:pPr>
        <w:pStyle w:val="Heading4"/>
      </w:pPr>
      <w:r>
        <w:t xml:space="preserve">c. Induction fails – it’s incoherent to justify the past to justify the future because there’s no logical certainty that what has happened before will happen again </w:t>
      </w:r>
    </w:p>
    <w:p w14:paraId="6B9334AB" w14:textId="77777777" w:rsidR="00F671D0" w:rsidRPr="00841E17" w:rsidRDefault="00F671D0" w:rsidP="00F671D0">
      <w:pPr>
        <w:pStyle w:val="Heading4"/>
        <w:rPr>
          <w:rFonts w:cs="Times New Roman"/>
        </w:rPr>
      </w:pPr>
      <w:r>
        <w:rPr>
          <w:rFonts w:eastAsia="SimSun"/>
          <w:lang w:eastAsia="zh-CN"/>
        </w:rPr>
        <w:t xml:space="preserve">d.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8"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7FFD9C9" w14:textId="01AC3C66" w:rsidR="001F12B4" w:rsidRDefault="001F12B4" w:rsidP="001F12B4">
      <w:pPr>
        <w:pStyle w:val="Heading4"/>
      </w:pPr>
      <w:r>
        <w:t>e. Permissibility affirms – A) Ought is defined as having sufficient reason because all instances of ought are just indexed to sufficient reason in particular contexts (i.e. moral, legal, logical, etc). That affirms since if every reason is equally invalid, that means any reason is a sufficient reason to justify an action C) 1AR flexibility – the neg has infinite more ground since they aren’t constrained by the topic, 30 min to prep the perfect 1nc, and a 2n collapse which requires the 1ar to have more strategic options like permissibility triggers.</w:t>
      </w:r>
    </w:p>
    <w:p w14:paraId="09586921" w14:textId="3D52D55A" w:rsidR="00F671D0" w:rsidRPr="00765CAB" w:rsidRDefault="00F671D0" w:rsidP="001F12B4">
      <w:pPr>
        <w:pStyle w:val="Heading4"/>
      </w:pPr>
    </w:p>
    <w:p w14:paraId="1FC5C4C6" w14:textId="77777777" w:rsidR="00F671D0" w:rsidRDefault="00F671D0" w:rsidP="00F671D0">
      <w:pPr>
        <w:pStyle w:val="Heading3"/>
      </w:pPr>
      <w:r>
        <w:t>Offense</w:t>
      </w:r>
    </w:p>
    <w:p w14:paraId="011A92BC" w14:textId="77777777" w:rsidR="00F671D0" w:rsidRPr="00652176" w:rsidRDefault="00F671D0" w:rsidP="00F671D0">
      <w:pPr>
        <w:pStyle w:val="Heading4"/>
      </w:pPr>
      <w:r>
        <w:t>I affirm the resolution- The appropriation of outer space by private entities is unjust.</w:t>
      </w:r>
    </w:p>
    <w:p w14:paraId="737BEF9D" w14:textId="77777777" w:rsidR="00F671D0" w:rsidRDefault="00F671D0" w:rsidP="00F671D0">
      <w:pPr>
        <w:pStyle w:val="Heading4"/>
      </w:pPr>
      <w:r>
        <w:t xml:space="preserve">The Outer Space Treaty affirms – “national appropriation” in Article 2 applies to all entities under a national sovereign – that’s the best legal meaning and most coherent. </w:t>
      </w:r>
    </w:p>
    <w:p w14:paraId="74A45883" w14:textId="77777777" w:rsidR="00F671D0" w:rsidRPr="00DC4852" w:rsidRDefault="00F671D0" w:rsidP="00F671D0">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9" w:history="1">
        <w:r w:rsidRPr="00DC4852">
          <w:rPr>
            <w:rStyle w:val="Hyperlink"/>
            <w:sz w:val="16"/>
          </w:rPr>
          <w:t>https://scholarlycommons.law.emory.edu/eilr/vol33/iss4/6</w:t>
        </w:r>
      </w:hyperlink>
      <w:r w:rsidRPr="00DC4852">
        <w:rPr>
          <w:sz w:val="16"/>
        </w:rPr>
        <w:t xml:space="preserve"> JS</w:t>
      </w:r>
    </w:p>
    <w:p w14:paraId="5FE49658" w14:textId="77777777" w:rsidR="00F671D0" w:rsidRPr="008A3130" w:rsidRDefault="00F671D0" w:rsidP="00F671D0">
      <w:pPr>
        <w:rPr>
          <w:sz w:val="16"/>
        </w:rPr>
      </w:pPr>
      <w:r w:rsidRPr="002F0B54">
        <w:rPr>
          <w:sz w:val="16"/>
        </w:rPr>
        <w:t xml:space="preserve">The broad text in Article II of the Outer Space Treaty provides an ordinary and unambiguous meaning free from absurdity.90 The language of Article II is short: </w:t>
      </w:r>
      <w:r w:rsidRPr="000E7567">
        <w:rPr>
          <w:rStyle w:val="StyleUnderline"/>
          <w:highlight w:val="yellow"/>
        </w:rPr>
        <w:t>“[o]uter space</w:t>
      </w:r>
      <w:r w:rsidRPr="002F0B54">
        <w:rPr>
          <w:rStyle w:val="StyleUnderline"/>
        </w:rPr>
        <w:t>,</w:t>
      </w:r>
      <w:r w:rsidRPr="002F0B54">
        <w:rPr>
          <w:sz w:val="16"/>
        </w:rPr>
        <w:t xml:space="preserve"> including the Moon and other celestial bodies, </w:t>
      </w:r>
      <w:r w:rsidRPr="000E7567">
        <w:rPr>
          <w:rStyle w:val="StyleUnderline"/>
          <w:highlight w:val="yellow"/>
        </w:rPr>
        <w:t>is not subject to national appropriation</w:t>
      </w:r>
      <w:r w:rsidRPr="002F0B54">
        <w:rPr>
          <w:rStyle w:val="StyleUnderline"/>
        </w:rPr>
        <w:t xml:space="preserve"> by claim of sovereignty</w:t>
      </w:r>
      <w:r w:rsidRPr="002F0B54">
        <w:rPr>
          <w:sz w:val="16"/>
        </w:rPr>
        <w:t>,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0E7567">
        <w:rPr>
          <w:rStyle w:val="StyleUnderline"/>
          <w:highlight w:val="yellow"/>
        </w:rPr>
        <w:t>appropriation is</w:t>
      </w:r>
      <w:r w:rsidRPr="002F0B54">
        <w:rPr>
          <w:rStyle w:val="StyleUnderline"/>
        </w:rPr>
        <w:t xml:space="preserve"> of a </w:t>
      </w:r>
      <w:r w:rsidRPr="000E7567">
        <w:rPr>
          <w:rStyle w:val="StyleUnderline"/>
          <w:highlight w:val="yellow"/>
        </w:rPr>
        <w:t>“national”</w:t>
      </w:r>
      <w:r w:rsidRPr="002F0B54">
        <w:rPr>
          <w:rStyle w:val="StyleUnderline"/>
        </w:rPr>
        <w:t xml:space="preserve"> character </w:t>
      </w:r>
      <w:r w:rsidRPr="000E7567">
        <w:rPr>
          <w:rStyle w:val="StyleUnderline"/>
          <w:highlight w:val="yellow"/>
        </w:rPr>
        <w:t xml:space="preserve">when it is by an entity under </w:t>
      </w:r>
      <w:r w:rsidRPr="009605CC">
        <w:rPr>
          <w:rStyle w:val="StyleUnderline"/>
        </w:rPr>
        <w:t>the</w:t>
      </w:r>
      <w:r w:rsidRPr="001F12B4">
        <w:rPr>
          <w:rStyle w:val="StyleUnderline"/>
          <w:highlight w:val="yellow"/>
        </w:rPr>
        <w:t xml:space="preserve"> </w:t>
      </w:r>
      <w:r w:rsidRPr="000E7567">
        <w:rPr>
          <w:rStyle w:val="StyleUnderline"/>
          <w:highlight w:val="yellow"/>
        </w:rPr>
        <w:t xml:space="preserve">sovereignty </w:t>
      </w:r>
      <w:r w:rsidRPr="009605CC">
        <w:rPr>
          <w:rStyle w:val="StyleUnderline"/>
        </w:rPr>
        <w:t>of the state from which they come or represent</w:t>
      </w:r>
      <w:r w:rsidRPr="002F0B54">
        <w:rPr>
          <w:sz w:val="16"/>
        </w:rPr>
        <w:t xml:space="preserve">.94 Even though Article II uses the “national” language, </w:t>
      </w:r>
      <w:r w:rsidRPr="000E7567">
        <w:rPr>
          <w:rStyle w:val="StyleUnderline"/>
          <w:highlight w:val="yellow"/>
        </w:rPr>
        <w:t>its ordinary meaning is</w:t>
      </w:r>
      <w:r w:rsidRPr="002F0B54">
        <w:rPr>
          <w:rStyle w:val="StyleUnderline"/>
        </w:rPr>
        <w:t xml:space="preserve"> most closely </w:t>
      </w:r>
      <w:r w:rsidRPr="001F12B4">
        <w:rPr>
          <w:rStyle w:val="StyleUnderline"/>
          <w:highlight w:val="yellow"/>
        </w:rPr>
        <w:t>linked to</w:t>
      </w:r>
      <w:r w:rsidRPr="001F12B4">
        <w:rPr>
          <w:rStyle w:val="StyleUnderline"/>
        </w:rPr>
        <w:t xml:space="preserve"> </w:t>
      </w:r>
      <w:r w:rsidRPr="001E6B4A">
        <w:rPr>
          <w:rStyle w:val="StyleUnderline"/>
        </w:rPr>
        <w:t>all sovereignties</w:t>
      </w:r>
      <w:r w:rsidRPr="002F0B54">
        <w:rPr>
          <w:rStyle w:val="StyleUnderline"/>
        </w:rPr>
        <w:t xml:space="preserve"> and the individuals and </w:t>
      </w:r>
      <w:r w:rsidRPr="000E7567">
        <w:rPr>
          <w:rStyle w:val="StyleUnderline"/>
          <w:highlight w:val="yellow"/>
        </w:rPr>
        <w:t>entities that attain property rights under the authority of a sovereign</w:t>
      </w:r>
      <w:r w:rsidRPr="002F0B54">
        <w:rPr>
          <w:sz w:val="16"/>
        </w:rPr>
        <w:t xml:space="preserve">. A separate insight of classic legal realism logically lends itself to the same conclusion. </w:t>
      </w:r>
      <w:r w:rsidRPr="000E7567">
        <w:rPr>
          <w:rStyle w:val="StyleUnderline"/>
          <w:highlight w:val="yellow"/>
        </w:rPr>
        <w:t>For an individual to hold property rights</w:t>
      </w:r>
      <w:r w:rsidRPr="002F0B54">
        <w:rPr>
          <w:rStyle w:val="StyleUnderline"/>
        </w:rPr>
        <w:t xml:space="preserve"> in something, </w:t>
      </w:r>
      <w:r w:rsidRPr="000E7567">
        <w:rPr>
          <w:rStyle w:val="StyleUnderline"/>
          <w:highlight w:val="yellow"/>
        </w:rPr>
        <w:t>the government must legally recognize the property rights</w:t>
      </w:r>
      <w:r w:rsidRPr="002F0B54">
        <w:rPr>
          <w:sz w:val="16"/>
        </w:rPr>
        <w:t xml:space="preserve">.95 </w:t>
      </w:r>
      <w:r w:rsidRPr="002F0B54">
        <w:rPr>
          <w:rStyle w:val="StyleUnderline"/>
        </w:rPr>
        <w:t xml:space="preserve">The language of </w:t>
      </w:r>
      <w:r w:rsidRPr="000E7567">
        <w:rPr>
          <w:rStyle w:val="StyleUnderline"/>
          <w:highlight w:val="yellow"/>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0E7567">
        <w:rPr>
          <w:rStyle w:val="StyleUnderline"/>
          <w:highlight w:val="yellow"/>
        </w:rPr>
        <w:t>a correct interpretation of</w:t>
      </w:r>
      <w:r w:rsidRPr="002F0B54">
        <w:rPr>
          <w:rStyle w:val="StyleUnderline"/>
        </w:rPr>
        <w:t xml:space="preserve"> the language of </w:t>
      </w:r>
      <w:r w:rsidRPr="000E7567">
        <w:rPr>
          <w:rStyle w:val="StyleUnderline"/>
          <w:highlight w:val="yellow"/>
        </w:rPr>
        <w:t>Article II should bar</w:t>
      </w:r>
      <w:r w:rsidRPr="002F0B54">
        <w:rPr>
          <w:rStyle w:val="StyleUnderline"/>
        </w:rPr>
        <w:t xml:space="preserve"> the ability of </w:t>
      </w:r>
      <w:r w:rsidRPr="000E7567">
        <w:rPr>
          <w:rStyle w:val="StyleUnderline"/>
          <w:highlight w:val="yellow"/>
        </w:rPr>
        <w:t>private entities</w:t>
      </w:r>
      <w:r w:rsidRPr="002F0B54">
        <w:rPr>
          <w:sz w:val="16"/>
        </w:rPr>
        <w:t xml:space="preserve"> and </w:t>
      </w:r>
      <w:r w:rsidRPr="009605CC">
        <w:rPr>
          <w:sz w:val="16"/>
        </w:rPr>
        <w:t xml:space="preserve">individuals </w:t>
      </w:r>
      <w:r w:rsidRPr="000E7567">
        <w:rPr>
          <w:rStyle w:val="StyleUnderline"/>
          <w:highlight w:val="yellow"/>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5F689871" w14:textId="77777777" w:rsidR="00F671D0" w:rsidRDefault="00F671D0" w:rsidP="00F671D0">
      <w:pPr>
        <w:pStyle w:val="Heading4"/>
      </w:pPr>
      <w:r>
        <w:t xml:space="preserve">This is in line with the </w:t>
      </w:r>
      <w:r w:rsidRPr="006753B6">
        <w:rPr>
          <w:u w:val="single"/>
        </w:rPr>
        <w:t xml:space="preserve">spirit </w:t>
      </w:r>
      <w:r>
        <w:t xml:space="preserve">of the treaty. </w:t>
      </w:r>
    </w:p>
    <w:p w14:paraId="4AAD0529" w14:textId="77777777" w:rsidR="00F671D0" w:rsidRPr="00703FBC" w:rsidRDefault="00F671D0" w:rsidP="00F671D0">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(2)</w:t>
      </w:r>
      <w:r w:rsidRPr="00DC4852">
        <w:rPr>
          <w:sz w:val="16"/>
        </w:rPr>
        <w:t xml:space="preserve"> </w:t>
      </w:r>
      <w:hyperlink r:id="rId10" w:history="1">
        <w:r w:rsidRPr="00DC4852">
          <w:rPr>
            <w:rStyle w:val="Hyperlink"/>
            <w:sz w:val="16"/>
          </w:rPr>
          <w:t>https://scholarlycommons.law.emory.edu/eilr/vol33/iss4/6</w:t>
        </w:r>
      </w:hyperlink>
      <w:r w:rsidRPr="00DC4852">
        <w:rPr>
          <w:sz w:val="16"/>
        </w:rPr>
        <w:t xml:space="preserve"> JS</w:t>
      </w:r>
    </w:p>
    <w:p w14:paraId="6AABD520" w14:textId="77777777" w:rsidR="00F671D0" w:rsidRPr="008A3130" w:rsidRDefault="00F671D0" w:rsidP="00F671D0">
      <w:pPr>
        <w:rPr>
          <w:sz w:val="16"/>
        </w:rPr>
      </w:pPr>
      <w:r w:rsidRPr="006753B6">
        <w:rPr>
          <w:rStyle w:val="StyleUnderline"/>
        </w:rPr>
        <w:t>There exists a direct counter-argument that Article II of the Outer Space Treaty does not apply to private actors at all, only to state actors</w:t>
      </w:r>
      <w:r w:rsidRPr="006753B6">
        <w:rPr>
          <w:sz w:val="16"/>
        </w:rPr>
        <w:t xml:space="preserve">.150 This argument rests primarily on the idea that a treaty is a kind of contract between states that benefits their citizens but does not directly bind their citizens to international obligations.151 </w:t>
      </w:r>
      <w:r w:rsidRPr="006753B6">
        <w:rPr>
          <w:rStyle w:val="StyleUnderline"/>
        </w:rPr>
        <w:t xml:space="preserve">However, </w:t>
      </w:r>
      <w:r w:rsidRPr="000E7567">
        <w:rPr>
          <w:rStyle w:val="StyleUnderline"/>
          <w:highlight w:val="yellow"/>
        </w:rPr>
        <w:t>the purpose behind the drafting of the Treaty</w:t>
      </w:r>
      <w:r w:rsidRPr="006753B6">
        <w:rPr>
          <w:rStyle w:val="StyleUnderline"/>
        </w:rPr>
        <w:t xml:space="preserve"> in the first place </w:t>
      </w:r>
      <w:r w:rsidRPr="000E7567">
        <w:rPr>
          <w:rStyle w:val="StyleUnderline"/>
          <w:highlight w:val="yellow"/>
        </w:rPr>
        <w:t>most logically stands</w:t>
      </w:r>
      <w:r w:rsidRPr="009605CC">
        <w:rPr>
          <w:rStyle w:val="StyleUnderline"/>
        </w:rPr>
        <w:t xml:space="preserve"> for</w:t>
      </w:r>
      <w:r w:rsidRPr="006753B6">
        <w:rPr>
          <w:rStyle w:val="StyleUnderline"/>
        </w:rPr>
        <w:t xml:space="preserve"> the conclusion </w:t>
      </w:r>
      <w:r w:rsidRPr="000E7567">
        <w:rPr>
          <w:rStyle w:val="StyleUnderline"/>
          <w:highlight w:val="yellow"/>
        </w:rPr>
        <w:t>that ensuring safety</w:t>
      </w:r>
      <w:r w:rsidRPr="006753B6">
        <w:rPr>
          <w:rStyle w:val="StyleUnderline"/>
        </w:rPr>
        <w:t xml:space="preserve"> and ecological standards </w:t>
      </w:r>
      <w:r w:rsidRPr="000E7567">
        <w:rPr>
          <w:rStyle w:val="StyleUnderline"/>
          <w:highlight w:val="yellow"/>
        </w:rPr>
        <w:t>in outer space has</w:t>
      </w:r>
      <w:r w:rsidRPr="006753B6">
        <w:rPr>
          <w:rStyle w:val="StyleUnderline"/>
        </w:rPr>
        <w:t xml:space="preserve"> always </w:t>
      </w:r>
      <w:r w:rsidRPr="000E7567">
        <w:rPr>
          <w:rStyle w:val="StyleUnderline"/>
          <w:highlight w:val="yellow"/>
        </w:rPr>
        <w:t>been important</w:t>
      </w:r>
      <w:r w:rsidRPr="006753B6">
        <w:rPr>
          <w:sz w:val="16"/>
        </w:rPr>
        <w:t xml:space="preserve">.152 </w:t>
      </w:r>
      <w:r w:rsidRPr="000E7567">
        <w:rPr>
          <w:rStyle w:val="StyleUnderline"/>
          <w:highlight w:val="yellow"/>
        </w:rPr>
        <w:t>Allowing a loophole for private actors</w:t>
      </w:r>
      <w:r w:rsidRPr="006753B6">
        <w:rPr>
          <w:rStyle w:val="StyleUnderline"/>
        </w:rPr>
        <w:t xml:space="preserve"> to essentially do whatever they want with celestial resources and planetary bodies </w:t>
      </w:r>
      <w:r w:rsidRPr="000E7567">
        <w:rPr>
          <w:rStyle w:val="StyleUnderline"/>
          <w:highlight w:val="yellow"/>
        </w:rPr>
        <w:t>goes directly against the core purpose</w:t>
      </w:r>
      <w:r w:rsidRPr="006753B6">
        <w:rPr>
          <w:rStyle w:val="StyleUnderline"/>
        </w:rPr>
        <w:t xml:space="preserve"> of having such a treaty in the first place</w:t>
      </w:r>
      <w:r w:rsidRPr="006753B6">
        <w:rPr>
          <w:sz w:val="16"/>
        </w:rPr>
        <w:t>.</w:t>
      </w:r>
    </w:p>
    <w:p w14:paraId="5D1C27A8" w14:textId="77777777" w:rsidR="00F671D0" w:rsidRDefault="00F671D0" w:rsidP="00F671D0">
      <w:pPr>
        <w:pStyle w:val="Heading4"/>
      </w:pPr>
      <w:r>
        <w:t xml:space="preserve">OST not mentioning private entities flows aff – accepted legal interpretation means this proves lack of intent to exclude private entities. </w:t>
      </w:r>
    </w:p>
    <w:p w14:paraId="1C2A3B9D" w14:textId="77777777" w:rsidR="00F671D0" w:rsidRPr="008A3130" w:rsidRDefault="00F671D0" w:rsidP="00F671D0">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11" w:history="1">
        <w:r w:rsidRPr="00DC4852">
          <w:rPr>
            <w:rStyle w:val="Hyperlink"/>
            <w:sz w:val="16"/>
          </w:rPr>
          <w:t>https://scholarlycommons.law.emory.edu/eilr/vol33/iss4/6</w:t>
        </w:r>
      </w:hyperlink>
      <w:r w:rsidRPr="00DC4852">
        <w:rPr>
          <w:sz w:val="16"/>
        </w:rPr>
        <w:t xml:space="preserve"> JS</w:t>
      </w:r>
    </w:p>
    <w:p w14:paraId="3ED840E5" w14:textId="41DB56DE" w:rsidR="00A95652" w:rsidRDefault="00F671D0" w:rsidP="00B55AD5">
      <w:pPr>
        <w:rPr>
          <w:sz w:val="16"/>
        </w:rPr>
      </w:pPr>
      <w:r w:rsidRPr="000F3031">
        <w:rPr>
          <w:sz w:val="16"/>
        </w:rPr>
        <w:t xml:space="preserve">Expressio unius est exclusion alterius </w:t>
      </w:r>
      <w:r w:rsidRPr="000E7567">
        <w:rPr>
          <w:sz w:val="16"/>
          <w:highlight w:val="yellow"/>
        </w:rPr>
        <w:t xml:space="preserve">is </w:t>
      </w:r>
      <w:r w:rsidRPr="000E7567">
        <w:rPr>
          <w:rStyle w:val="StyleUnderline"/>
          <w:highlight w:val="yellow"/>
        </w:rPr>
        <w:t>a widely accepted</w:t>
      </w:r>
      <w:r w:rsidRPr="000F3031">
        <w:rPr>
          <w:rStyle w:val="StyleUnderline"/>
        </w:rPr>
        <w:t xml:space="preserve"> international canon of </w:t>
      </w:r>
      <w:r w:rsidRPr="000E7567">
        <w:rPr>
          <w:rStyle w:val="StyleUnderline"/>
          <w:highlight w:val="yellow"/>
        </w:rPr>
        <w:t>interpretation</w:t>
      </w:r>
      <w:r w:rsidRPr="000F3031">
        <w:rPr>
          <w:sz w:val="16"/>
        </w:rPr>
        <w:t xml:space="preserve">.127 It </w:t>
      </w:r>
      <w:r w:rsidRPr="000E7567">
        <w:rPr>
          <w:rStyle w:val="StyleUnderline"/>
          <w:highlight w:val="yellow"/>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be applied to support the conclusion that the Outer</w:t>
      </w:r>
      <w:r w:rsidRPr="000F3031">
        <w:rPr>
          <w:rStyle w:val="StyleUnderline"/>
        </w:rPr>
        <w:t xml:space="preserve"> Space Treaty </w:t>
      </w:r>
      <w:r w:rsidRPr="00C85D99">
        <w:rPr>
          <w:rStyle w:val="StyleUnderline"/>
        </w:rPr>
        <w:t>does indeed prohibit the appropriation</w:t>
      </w:r>
      <w:r w:rsidRPr="000F3031">
        <w:rPr>
          <w:rStyle w:val="StyleUnderline"/>
        </w:rPr>
        <w:t xml:space="preserve"> of celestial resources by both state and private actors.</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apply: sovereigns. </w:t>
      </w:r>
      <w:r w:rsidRPr="000E7567">
        <w:rPr>
          <w:rStyle w:val="StyleUnderline"/>
          <w:highlight w:val="yellow"/>
        </w:rPr>
        <w:t>If the drafters intended for private actors to be governed differently</w:t>
      </w:r>
      <w:r w:rsidRPr="009D6D3A">
        <w:rPr>
          <w:rStyle w:val="StyleUnderline"/>
        </w:rPr>
        <w:t xml:space="preserve">, expressio unius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1F12B4">
        <w:rPr>
          <w:rStyle w:val="StyleUnderline"/>
          <w:highlight w:val="yellow"/>
        </w:rPr>
        <w:t xml:space="preserve">, they </w:t>
      </w:r>
      <w:r w:rsidRPr="000E7567">
        <w:rPr>
          <w:rStyle w:val="StyleUnderline"/>
          <w:highlight w:val="yellow"/>
        </w:rPr>
        <w:t xml:space="preserve">would have expressly stated so </w:t>
      </w:r>
      <w:r w:rsidRPr="00C85D99">
        <w:rPr>
          <w:rStyle w:val="StyleUnderline"/>
        </w:rPr>
        <w:t>in the text, thus drastically altering its literal interpretation</w:t>
      </w:r>
      <w:r w:rsidRPr="00C85D99">
        <w:rPr>
          <w:sz w:val="16"/>
        </w:rPr>
        <w:t>.</w:t>
      </w:r>
    </w:p>
    <w:p w14:paraId="16A065A2" w14:textId="5A030714" w:rsidR="006F060A" w:rsidRDefault="006F060A" w:rsidP="006F060A">
      <w:pPr>
        <w:pStyle w:val="Heading2"/>
      </w:pPr>
      <w:r>
        <w:t>Extra</w:t>
      </w:r>
    </w:p>
    <w:p w14:paraId="41335FAF" w14:textId="4FB3C2E0" w:rsidR="006F060A" w:rsidRDefault="006F060A" w:rsidP="006F060A">
      <w:r>
        <w:t>Presumptio affirms- extemp</w:t>
      </w:r>
    </w:p>
    <w:p w14:paraId="3E47E2F7" w14:textId="42AFCEF3" w:rsidR="006F060A" w:rsidRDefault="006F060A" w:rsidP="006F060A">
      <w:r>
        <w:t>Truth testing</w:t>
      </w:r>
    </w:p>
    <w:p w14:paraId="6DA3123F" w14:textId="1848F148" w:rsidR="006F060A" w:rsidRDefault="006F060A" w:rsidP="006F060A">
      <w:r>
        <w:t>Constuitvism- extemp</w:t>
      </w:r>
    </w:p>
    <w:p w14:paraId="415D0C48" w14:textId="2A44580E" w:rsidR="006F060A" w:rsidRDefault="006F060A" w:rsidP="006F060A">
      <w:r>
        <w:t>Isomoprhoism- extemp</w:t>
      </w:r>
    </w:p>
    <w:p w14:paraId="1AF2EC80" w14:textId="5D80C242" w:rsidR="006F060A" w:rsidRDefault="006F060A" w:rsidP="006F060A">
      <w:r>
        <w:t xml:space="preserve">Pleasure and pain not agreegateable </w:t>
      </w:r>
    </w:p>
    <w:p w14:paraId="2FA942AF" w14:textId="299D6CC8" w:rsidR="006F060A" w:rsidRPr="006F060A" w:rsidRDefault="006F060A" w:rsidP="006F060A">
      <w:r>
        <w:t>Aff gets 1ar theory, fairness is a voter, fairness first</w:t>
      </w:r>
    </w:p>
    <w:sectPr w:rsidR="006F060A" w:rsidRPr="006F06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35EB4" w14:textId="77777777" w:rsidR="0055282F" w:rsidRDefault="0055282F" w:rsidP="00F671D0">
      <w:pPr>
        <w:spacing w:after="0" w:line="240" w:lineRule="auto"/>
      </w:pPr>
      <w:r>
        <w:separator/>
      </w:r>
    </w:p>
  </w:endnote>
  <w:endnote w:type="continuationSeparator" w:id="0">
    <w:p w14:paraId="3B0EB554" w14:textId="77777777" w:rsidR="0055282F" w:rsidRDefault="0055282F" w:rsidP="00F67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ACFD0" w14:textId="77777777" w:rsidR="0055282F" w:rsidRDefault="0055282F" w:rsidP="00F671D0">
      <w:pPr>
        <w:spacing w:after="0" w:line="240" w:lineRule="auto"/>
      </w:pPr>
      <w:r>
        <w:separator/>
      </w:r>
    </w:p>
  </w:footnote>
  <w:footnote w:type="continuationSeparator" w:id="0">
    <w:p w14:paraId="65424F93" w14:textId="77777777" w:rsidR="0055282F" w:rsidRDefault="0055282F" w:rsidP="00F671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05967620912"/>
    <w:docVar w:name="VerbatimVersion" w:val="5.1"/>
  </w:docVars>
  <w:rsids>
    <w:rsidRoot w:val="00F671D0"/>
    <w:rsid w:val="000139A3"/>
    <w:rsid w:val="000D7249"/>
    <w:rsid w:val="00100833"/>
    <w:rsid w:val="00104529"/>
    <w:rsid w:val="00105942"/>
    <w:rsid w:val="00107396"/>
    <w:rsid w:val="00144A4C"/>
    <w:rsid w:val="00176AB0"/>
    <w:rsid w:val="00177B7D"/>
    <w:rsid w:val="0018322D"/>
    <w:rsid w:val="001B5776"/>
    <w:rsid w:val="001E527A"/>
    <w:rsid w:val="001F12B4"/>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282F"/>
    <w:rsid w:val="0057268A"/>
    <w:rsid w:val="005D2912"/>
    <w:rsid w:val="006065BD"/>
    <w:rsid w:val="00645FA9"/>
    <w:rsid w:val="00647866"/>
    <w:rsid w:val="00665003"/>
    <w:rsid w:val="006A2AD0"/>
    <w:rsid w:val="006C2375"/>
    <w:rsid w:val="006D4ECC"/>
    <w:rsid w:val="006F060A"/>
    <w:rsid w:val="00722258"/>
    <w:rsid w:val="007243E5"/>
    <w:rsid w:val="00766EA0"/>
    <w:rsid w:val="007A2226"/>
    <w:rsid w:val="007F5B66"/>
    <w:rsid w:val="00801D5B"/>
    <w:rsid w:val="00823A1C"/>
    <w:rsid w:val="00845B9D"/>
    <w:rsid w:val="00860984"/>
    <w:rsid w:val="008655F9"/>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71D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B8AED"/>
  <w15:chartTrackingRefBased/>
  <w15:docId w15:val="{A752F7CC-3F1F-45DA-9A2A-5E5A961F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60A"/>
    <w:rPr>
      <w:rFonts w:ascii="Calibri" w:hAnsi="Calibri" w:cs="Calibri"/>
    </w:rPr>
  </w:style>
  <w:style w:type="paragraph" w:styleId="Heading1">
    <w:name w:val="heading 1"/>
    <w:aliases w:val="Pocket"/>
    <w:basedOn w:val="Normal"/>
    <w:next w:val="Normal"/>
    <w:link w:val="Heading1Char"/>
    <w:qFormat/>
    <w:rsid w:val="006F06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6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06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6F06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6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60A"/>
  </w:style>
  <w:style w:type="character" w:customStyle="1" w:styleId="Heading1Char">
    <w:name w:val="Heading 1 Char"/>
    <w:aliases w:val="Pocket Char"/>
    <w:basedOn w:val="DefaultParagraphFont"/>
    <w:link w:val="Heading1"/>
    <w:rsid w:val="006F06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06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060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6F060A"/>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F060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F060A"/>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F060A"/>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6F060A"/>
    <w:rPr>
      <w:color w:val="auto"/>
      <w:u w:val="none"/>
    </w:rPr>
  </w:style>
  <w:style w:type="character" w:styleId="FollowedHyperlink">
    <w:name w:val="FollowedHyperlink"/>
    <w:basedOn w:val="DefaultParagraphFont"/>
    <w:uiPriority w:val="99"/>
    <w:semiHidden/>
    <w:unhideWhenUsed/>
    <w:rsid w:val="006F060A"/>
    <w:rPr>
      <w:color w:val="auto"/>
      <w:u w:val="none"/>
    </w:rPr>
  </w:style>
  <w:style w:type="character" w:styleId="FootnoteReference">
    <w:name w:val="footnote reference"/>
    <w:aliases w:val="FN Ref,footnote reference,fr,o,FR,(NECG) Footnote Reference"/>
    <w:basedOn w:val="DefaultParagraphFont"/>
    <w:uiPriority w:val="99"/>
    <w:unhideWhenUsed/>
    <w:qFormat/>
    <w:rsid w:val="00F671D0"/>
    <w:rPr>
      <w:vertAlign w:val="superscript"/>
    </w:rPr>
  </w:style>
  <w:style w:type="paragraph" w:customStyle="1" w:styleId="textbold">
    <w:name w:val="text bold"/>
    <w:basedOn w:val="Normal"/>
    <w:link w:val="Emphasis"/>
    <w:uiPriority w:val="7"/>
    <w:qFormat/>
    <w:rsid w:val="00F671D0"/>
    <w:pPr>
      <w:widowControl w:val="0"/>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er.com/magazine/2005/12/05/everybodys-an-expe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lycommons.law.emory.edu/eilr/vol33/iss4/6" TargetMode="External"/><Relationship Id="rId5" Type="http://schemas.openxmlformats.org/officeDocument/2006/relationships/webSettings" Target="webSettings.xml"/><Relationship Id="rId10" Type="http://schemas.openxmlformats.org/officeDocument/2006/relationships/hyperlink" Target="https://scholarlycommons.law.emory.edu/eilr/vol33/iss4/6" TargetMode="External"/><Relationship Id="rId4" Type="http://schemas.openxmlformats.org/officeDocument/2006/relationships/settings" Target="settings.xml"/><Relationship Id="rId9" Type="http://schemas.openxmlformats.org/officeDocument/2006/relationships/hyperlink" Target="https://scholarlycommons.law.emory.edu/eilr/vol33/iss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4287</Words>
  <Characters>24442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2022-02-19T21:51:00Z</dcterms:created>
  <dcterms:modified xsi:type="dcterms:W3CDTF">2022-02-20T14:19:00Z</dcterms:modified>
</cp:coreProperties>
</file>