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9B8A9" w14:textId="77777777" w:rsidR="00327BF1" w:rsidRDefault="00327BF1" w:rsidP="00327BF1">
      <w:pPr>
        <w:pStyle w:val="Heading3"/>
      </w:pPr>
      <w:r>
        <w:t>Overview</w:t>
      </w:r>
    </w:p>
    <w:p w14:paraId="28DDE89D" w14:textId="77777777" w:rsidR="00327BF1" w:rsidRPr="00473EE4" w:rsidRDefault="00327BF1" w:rsidP="00327BF1">
      <w:pPr>
        <w:pStyle w:val="Heading4"/>
      </w:pPr>
      <w:bookmarkStart w:id="0" w:name="_Hlk83638279"/>
      <w:r>
        <w:t xml:space="preserve">Interpretation – </w:t>
      </w:r>
      <w:r w:rsidRPr="00473EE4">
        <w:t xml:space="preserve">The negative must concede the affirmative </w:t>
      </w:r>
      <w:r>
        <w:t xml:space="preserve">framework or </w:t>
      </w:r>
      <w:r w:rsidRPr="00473EE4">
        <w:t xml:space="preserve">contention level offense. </w:t>
      </w:r>
    </w:p>
    <w:p w14:paraId="643191DF" w14:textId="77777777" w:rsidR="00327BF1" w:rsidRPr="00473EE4" w:rsidRDefault="00327BF1" w:rsidP="00327BF1">
      <w:pPr>
        <w:pStyle w:val="Heading4"/>
      </w:pPr>
      <w:r w:rsidRPr="00473EE4">
        <w:t>It’s preemptive, you violate by reading turns</w:t>
      </w:r>
      <w:r>
        <w:t xml:space="preserve"> or defense</w:t>
      </w:r>
      <w:r w:rsidRPr="00473EE4">
        <w:t xml:space="preserve"> </w:t>
      </w:r>
      <w:r>
        <w:t>to my offense and reading an alternative framework.</w:t>
      </w:r>
    </w:p>
    <w:p w14:paraId="5CB5F2C0" w14:textId="77777777" w:rsidR="00327BF1" w:rsidRDefault="00327BF1" w:rsidP="00327BF1">
      <w:pPr>
        <w:pStyle w:val="Heading4"/>
      </w:pPr>
      <w:r>
        <w:t xml:space="preserve">Prefer – </w:t>
      </w:r>
    </w:p>
    <w:p w14:paraId="4B2E8851" w14:textId="77777777" w:rsidR="00327BF1" w:rsidRDefault="00327BF1" w:rsidP="00327BF1">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bookmarkEnd w:id="0"/>
    <w:p w14:paraId="533059BA" w14:textId="77777777" w:rsidR="00327BF1" w:rsidRDefault="00327BF1" w:rsidP="00327BF1">
      <w:pPr>
        <w:pStyle w:val="Heading3"/>
      </w:pPr>
      <w:r>
        <w:t>ROB</w:t>
      </w:r>
    </w:p>
    <w:p w14:paraId="00EF074C" w14:textId="77777777" w:rsidR="00327BF1" w:rsidRDefault="00327BF1" w:rsidP="00327BF1">
      <w:pPr>
        <w:pStyle w:val="Heading4"/>
        <w:rPr>
          <w:rFonts w:cs="Times New Roman"/>
        </w:rPr>
      </w:pPr>
      <w:r w:rsidRPr="008816BD">
        <w:rPr>
          <w:rFonts w:cs="Times New Roman"/>
        </w:rPr>
        <w:t xml:space="preserve">The role of the ballot is to endorse the debater who proves the truth or falsity of the resolution – </w:t>
      </w:r>
    </w:p>
    <w:p w14:paraId="6CF7901A" w14:textId="77777777" w:rsidR="00327BF1" w:rsidRDefault="00327BF1" w:rsidP="00327BF1">
      <w:pPr>
        <w:pStyle w:val="Heading4"/>
        <w:rPr>
          <w:rFonts w:eastAsia="Times New Roman"/>
          <w:color w:val="000000" w:themeColor="text1"/>
          <w:spacing w:val="3"/>
          <w:shd w:val="clear" w:color="auto" w:fill="FFFFFF"/>
        </w:rPr>
      </w:pPr>
      <w:r>
        <w:rPr>
          <w:rFonts w:cs="Times New Roman"/>
        </w:rPr>
        <w:t xml:space="preserve">A] </w:t>
      </w:r>
      <w:r w:rsidRPr="008816BD">
        <w:t>Text – five dictionaries define negate as to deny the truth of</w:t>
      </w:r>
      <w:r w:rsidRPr="008816BD">
        <w:rPr>
          <w:rStyle w:val="FootnoteReference"/>
          <w:b w:val="0"/>
        </w:rPr>
        <w:footnoteReference w:id="1"/>
      </w:r>
      <w:r w:rsidRPr="008816BD">
        <w:t xml:space="preserve">. Text first – </w:t>
      </w:r>
      <w:r w:rsidRPr="008816BD">
        <w:rPr>
          <w:rFonts w:eastAsia="Times New Roman"/>
          <w:color w:val="000000" w:themeColor="text1"/>
          <w:spacing w:val="3"/>
          <w:shd w:val="clear" w:color="auto" w:fill="FFFFFF"/>
        </w:rPr>
        <w:t xml:space="preserve">Text comes first – a) Key to jurisdiction since the judge can only endorse what is within their burden </w:t>
      </w:r>
      <w:r>
        <w:rPr>
          <w:rFonts w:eastAsia="Times New Roman"/>
          <w:color w:val="000000" w:themeColor="text1"/>
          <w:spacing w:val="3"/>
          <w:shd w:val="clear" w:color="auto" w:fill="FFFFFF"/>
        </w:rPr>
        <w:t>b</w:t>
      </w:r>
      <w:r w:rsidRPr="008816BD">
        <w:rPr>
          <w:rFonts w:eastAsia="Times New Roman"/>
          <w:color w:val="000000" w:themeColor="text1"/>
          <w:spacing w:val="3"/>
          <w:shd w:val="clear" w:color="auto" w:fill="FFFFFF"/>
        </w:rPr>
        <w:t xml:space="preserve">) Even if another role of the ballot is better for debate, that is not a reason it ought to be the role of the ballot, just a reason we ought to discuss it. </w:t>
      </w:r>
    </w:p>
    <w:p w14:paraId="706016B3" w14:textId="77777777" w:rsidR="00327BF1" w:rsidRDefault="00327BF1" w:rsidP="00327BF1">
      <w:pPr>
        <w:pStyle w:val="Heading4"/>
        <w:rPr>
          <w:rFonts w:eastAsia="Calibri"/>
          <w:bCs/>
          <w:color w:val="000000"/>
        </w:rPr>
      </w:pPr>
      <w:r>
        <w:rPr>
          <w:rFonts w:eastAsia="Times New Roman"/>
          <w:color w:val="000000" w:themeColor="text1"/>
          <w:spacing w:val="3"/>
          <w:shd w:val="clear" w:color="auto" w:fill="FFFFFF"/>
        </w:rPr>
        <w:t xml:space="preserve">B] </w:t>
      </w:r>
      <w:r w:rsidRPr="008816BD">
        <w:rPr>
          <w:rFonts w:eastAsia="Calibri"/>
          <w:color w:val="000000"/>
        </w:rPr>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8816BD">
        <w:rPr>
          <w:rFonts w:eastAsia="Calibri"/>
          <w:color w:val="000000"/>
        </w:rPr>
        <w:t>exclude</w:t>
      </w:r>
      <w:proofErr w:type="gramEnd"/>
      <w:r w:rsidRPr="008816BD">
        <w:rPr>
          <w:rFonts w:eastAsia="Calibri"/>
          <w:color w:val="000000"/>
        </w:rPr>
        <w:t xml:space="preserve"> all offense besides those that follow from their framework which shuts out people without the technical skill or resources to prep for it</w:t>
      </w:r>
    </w:p>
    <w:p w14:paraId="3153D3EE" w14:textId="77777777" w:rsidR="00327BF1" w:rsidRPr="00C52160" w:rsidRDefault="00327BF1" w:rsidP="00327BF1">
      <w:pPr>
        <w:pStyle w:val="Heading3"/>
      </w:pPr>
      <w:r>
        <w:t>Framework</w:t>
      </w:r>
    </w:p>
    <w:p w14:paraId="77F61186" w14:textId="77777777" w:rsidR="00327BF1" w:rsidRDefault="00327BF1" w:rsidP="00327BF1">
      <w:pPr>
        <w:pStyle w:val="Heading4"/>
      </w:pPr>
      <w:r>
        <w:t xml:space="preserve">I value morality. The Meta-Ethic is </w:t>
      </w:r>
      <w:proofErr w:type="gramStart"/>
      <w:r>
        <w:t>Non-Naturalism</w:t>
      </w:r>
      <w:proofErr w:type="gramEnd"/>
      <w:r>
        <w:t>.</w:t>
      </w:r>
    </w:p>
    <w:p w14:paraId="360B2722" w14:textId="77777777" w:rsidR="00327BF1" w:rsidRDefault="00327BF1" w:rsidP="00327BF1">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64E91B17" w14:textId="77777777" w:rsidR="00327BF1" w:rsidRPr="001F56D5" w:rsidRDefault="00327BF1" w:rsidP="00327BF1">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8" w:history="1">
        <w:r w:rsidRPr="001F56D5">
          <w:rPr>
            <w:rStyle w:val="Hyperlink"/>
            <w:sz w:val="12"/>
            <w:szCs w:val="12"/>
          </w:rPr>
          <w:t>http://fair-use.org/g-e-moore/principia-ethica/</w:t>
        </w:r>
      </w:hyperlink>
      <w:r w:rsidRPr="001F56D5">
        <w:rPr>
          <w:sz w:val="12"/>
          <w:szCs w:val="12"/>
        </w:rPr>
        <w:t>. Published 1903] SHS ZS</w:t>
      </w:r>
    </w:p>
    <w:p w14:paraId="5DC13618" w14:textId="66DD8168" w:rsidR="00327BF1" w:rsidRDefault="00327BF1" w:rsidP="00327BF1">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58451068" w14:textId="77777777" w:rsidR="00327BF1" w:rsidRPr="004C3F42" w:rsidRDefault="00327BF1" w:rsidP="00327BF1">
      <w:pPr>
        <w:pStyle w:val="Heading4"/>
      </w:pPr>
      <w:r>
        <w:t>[2]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6C934FE1" w14:textId="77777777" w:rsidR="00327BF1" w:rsidRPr="005E1DD1" w:rsidRDefault="00327BF1" w:rsidP="00327BF1">
      <w:pPr>
        <w:rPr>
          <w:sz w:val="16"/>
          <w:szCs w:val="16"/>
        </w:rPr>
      </w:pPr>
      <w:r w:rsidRPr="005E1DD1">
        <w:rPr>
          <w:sz w:val="16"/>
          <w:szCs w:val="16"/>
        </w:rPr>
        <w:t xml:space="preserve">René, 1641. Discourse On </w:t>
      </w:r>
      <w:proofErr w:type="gramStart"/>
      <w:r w:rsidRPr="005E1DD1">
        <w:rPr>
          <w:sz w:val="16"/>
          <w:szCs w:val="16"/>
        </w:rPr>
        <w:t>Method ;</w:t>
      </w:r>
      <w:proofErr w:type="gramEnd"/>
      <w:r w:rsidRPr="005E1DD1">
        <w:rPr>
          <w:sz w:val="16"/>
          <w:szCs w:val="16"/>
        </w:rPr>
        <w:t xml:space="preserve"> and, Meditations on First Philosophy, NPR</w:t>
      </w:r>
    </w:p>
    <w:p w14:paraId="6A6C4C5E" w14:textId="32983AAC" w:rsidR="00327BF1" w:rsidRDefault="00327BF1" w:rsidP="00327BF1">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w:t>
      </w:r>
      <w:proofErr w:type="gramStart"/>
      <w:r w:rsidRPr="000157C7">
        <w:rPr>
          <w:sz w:val="14"/>
        </w:rPr>
        <w:t>this, since</w:t>
      </w:r>
      <w:proofErr w:type="gramEnd"/>
      <w:r w:rsidRPr="000157C7">
        <w:rPr>
          <w:sz w:val="14"/>
        </w:rPr>
        <w:t xml:space="preserv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w:t>
      </w:r>
      <w:proofErr w:type="gramStart"/>
      <w:r w:rsidRPr="00223B8C">
        <w:rPr>
          <w:b/>
          <w:bCs/>
          <w:sz w:val="24"/>
          <w:u w:val="single"/>
        </w:rPr>
        <w:t>So</w:t>
      </w:r>
      <w:proofErr w:type="gramEnd"/>
      <w:r w:rsidRPr="00223B8C">
        <w:rPr>
          <w:b/>
          <w:bCs/>
          <w:sz w:val="24"/>
          <w:u w:val="single"/>
        </w:rPr>
        <w:t xml:space="preserve">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xml:space="preserve">, that now necessarily exists. </w:t>
      </w:r>
      <w:proofErr w:type="gramStart"/>
      <w:r w:rsidRPr="000157C7">
        <w:rPr>
          <w:sz w:val="14"/>
        </w:rPr>
        <w:t>So</w:t>
      </w:r>
      <w:proofErr w:type="gramEnd"/>
      <w:r w:rsidRPr="000157C7">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0157C7">
        <w:rPr>
          <w:sz w:val="14"/>
        </w:rPr>
        <w:t>be, before</w:t>
      </w:r>
      <w:proofErr w:type="gramEnd"/>
      <w:r w:rsidRPr="000157C7">
        <w:rPr>
          <w:sz w:val="14"/>
        </w:rPr>
        <w:t xml:space="preserv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57BAA610" w14:textId="5CD76861" w:rsidR="00327BF1" w:rsidRPr="000928C8" w:rsidRDefault="00327BF1" w:rsidP="00327BF1">
      <w:pPr>
        <w:pStyle w:val="Heading4"/>
      </w:pPr>
      <w:r>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2E818D94" w14:textId="77777777" w:rsidR="00327BF1" w:rsidRDefault="00327BF1" w:rsidP="00327BF1">
      <w:pPr>
        <w:pStyle w:val="Heading4"/>
      </w:pPr>
      <w:r>
        <w:t xml:space="preserve">That requires practical reason as the basis for ethics: </w:t>
      </w:r>
    </w:p>
    <w:p w14:paraId="3B213178" w14:textId="77777777" w:rsidR="00327BF1" w:rsidRDefault="00327BF1" w:rsidP="00327BF1">
      <w:pPr>
        <w:pStyle w:val="Heading4"/>
        <w:rPr>
          <w:bCs/>
          <w:color w:val="000000" w:themeColor="text1"/>
        </w:rPr>
      </w:pPr>
      <w:r w:rsidRPr="00432F5A">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r>
        <w:rPr>
          <w:color w:val="000000" w:themeColor="text1"/>
        </w:rPr>
        <w:t xml:space="preserve"> </w:t>
      </w:r>
    </w:p>
    <w:p w14:paraId="0373A61C" w14:textId="77777777" w:rsidR="00327BF1" w:rsidRDefault="00327BF1" w:rsidP="00327BF1">
      <w:pPr>
        <w:pStyle w:val="Heading4"/>
        <w:rPr>
          <w:bCs/>
        </w:rPr>
      </w:pPr>
      <w:r>
        <w:rPr>
          <w:color w:val="000000" w:themeColor="text1"/>
        </w:rPr>
        <w:t>[</w:t>
      </w:r>
      <w:r w:rsidRPr="00432F5A">
        <w:rPr>
          <w:color w:val="000000" w:themeColor="text1"/>
        </w:rPr>
        <w:t xml:space="preserve">2] </w:t>
      </w:r>
      <w:r w:rsidRPr="00432F5A">
        <w:t xml:space="preserve">Inescapability – Every agent intrinsically values practical reason when they go about setting and pursuing an end under a moral theory, as it presupposes that the </w:t>
      </w:r>
      <w:proofErr w:type="gramStart"/>
      <w:r w:rsidRPr="00432F5A">
        <w:t>end</w:t>
      </w:r>
      <w:proofErr w:type="gramEnd"/>
      <w:r w:rsidRPr="00432F5A">
        <w:t xml:space="preserve"> they are committing is an intrinsic good. That necessitates practical reason as a necessary means to follow through on any given end.</w:t>
      </w:r>
    </w:p>
    <w:p w14:paraId="06B827AA" w14:textId="77777777" w:rsidR="00327BF1" w:rsidRDefault="00327BF1" w:rsidP="00327BF1">
      <w:pPr>
        <w:pStyle w:val="Heading4"/>
      </w:pPr>
      <w:r w:rsidRPr="00ED224E">
        <w:t xml:space="preserve">That justifies a universal moral law – </w:t>
      </w:r>
    </w:p>
    <w:p w14:paraId="61D64DAB" w14:textId="77777777" w:rsidR="00327BF1" w:rsidRDefault="00327BF1" w:rsidP="00327BF1">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756E79B3" w14:textId="77777777" w:rsidR="00327BF1" w:rsidRDefault="00327BF1" w:rsidP="00327BF1">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2A3FCD67" w14:textId="77777777" w:rsidR="00327BF1" w:rsidRPr="00ED224E" w:rsidRDefault="00327BF1" w:rsidP="00327BF1">
      <w:pPr>
        <w:pStyle w:val="Heading4"/>
      </w:pPr>
      <w:r>
        <w:t>3. Every agent is equally morally relevant, which requires equal treatment and equal standards for ethics.</w:t>
      </w:r>
      <w:r w:rsidRPr="00ED224E">
        <w:t xml:space="preserve"> </w:t>
      </w:r>
    </w:p>
    <w:p w14:paraId="6CB7A82E" w14:textId="77777777" w:rsidR="00327BF1" w:rsidRPr="00233060" w:rsidRDefault="00327BF1" w:rsidP="00327BF1">
      <w:pPr>
        <w:pStyle w:val="Heading4"/>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 xml:space="preserve">pecorino, </w:t>
      </w:r>
      <w:proofErr w:type="spellStart"/>
      <w:r w:rsidRPr="00233060">
        <w:rPr>
          <w:rFonts w:eastAsia="Times New Roman" w:cs="Times New Roman"/>
          <w:b w:val="0"/>
          <w:color w:val="000000"/>
          <w:sz w:val="12"/>
          <w:szCs w:val="12"/>
          <w:shd w:val="clear" w:color="auto" w:fill="FFFFFF"/>
        </w:rPr>
        <w:t>philip</w:t>
      </w:r>
      <w:proofErr w:type="spellEnd"/>
      <w:r w:rsidRPr="00233060">
        <w:rPr>
          <w:rFonts w:eastAsia="Times New Roman" w:cs="Times New Roman"/>
          <w:b w:val="0"/>
          <w:color w:val="000000"/>
          <w:sz w:val="12"/>
          <w:szCs w:val="12"/>
          <w:shd w:val="clear" w:color="auto" w:fill="FFFFFF"/>
        </w:rPr>
        <w:t>. "Categorical Imperative". </w:t>
      </w:r>
      <w:r w:rsidRPr="00233060">
        <w:rPr>
          <w:rFonts w:eastAsia="Times New Roman" w:cs="Times New Roman"/>
          <w:b w:val="0"/>
          <w:i/>
          <w:color w:val="000000"/>
          <w:sz w:val="12"/>
          <w:szCs w:val="12"/>
          <w:shd w:val="clear" w:color="auto" w:fill="FFFFFF"/>
        </w:rPr>
        <w:t>Qcc.Cuny.Edu</w:t>
      </w:r>
      <w:r w:rsidRPr="00233060">
        <w:rPr>
          <w:rFonts w:eastAsia="Times New Roman" w:cs="Times New Roman"/>
          <w:b w:val="0"/>
          <w:color w:val="000000"/>
          <w:sz w:val="12"/>
          <w:szCs w:val="12"/>
          <w:shd w:val="clear" w:color="auto" w:fill="FFFFFF"/>
        </w:rPr>
        <w:t xml:space="preserve">, 2002, </w:t>
      </w:r>
      <w:hyperlink r:id="rId10" w:history="1">
        <w:r w:rsidRPr="00233060">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233060">
        <w:rPr>
          <w:b w:val="0"/>
          <w:sz w:val="12"/>
          <w:szCs w:val="12"/>
        </w:rPr>
        <w:t>is</w:t>
      </w:r>
      <w:proofErr w:type="gramEnd"/>
      <w:r w:rsidRPr="00233060">
        <w:rPr>
          <w:b w:val="0"/>
          <w:sz w:val="12"/>
          <w:szCs w:val="12"/>
        </w:rPr>
        <w:t xml:space="preserve">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w:t>
      </w:r>
      <w:proofErr w:type="spellStart"/>
      <w:r w:rsidRPr="00233060">
        <w:rPr>
          <w:u w:val="single"/>
        </w:rPr>
        <w:t>nature."The</w:t>
      </w:r>
      <w:proofErr w:type="spellEnd"/>
      <w:r w:rsidRPr="00233060">
        <w:rPr>
          <w:u w:val="single"/>
        </w:rPr>
        <w:t xml:space="preserv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 xml:space="preserve">as an </w:t>
      </w:r>
      <w:proofErr w:type="spellStart"/>
      <w:r w:rsidRPr="00294956">
        <w:rPr>
          <w:highlight w:val="yellow"/>
          <w:u w:val="single"/>
        </w:rPr>
        <w:t>end</w:t>
      </w:r>
      <w:r w:rsidRPr="00233060">
        <w:rPr>
          <w:u w:val="single"/>
        </w:rPr>
        <w:t>."The</w:t>
      </w:r>
      <w:proofErr w:type="spellEnd"/>
      <w:r w:rsidRPr="00233060">
        <w:rPr>
          <w:u w:val="single"/>
        </w:rPr>
        <w:t xml:space="preserv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proofErr w:type="spellStart"/>
      <w:r w:rsidRPr="00294956">
        <w:rPr>
          <w:highlight w:val="yellow"/>
          <w:u w:val="single"/>
        </w:rPr>
        <w:t>maxims</w:t>
      </w:r>
      <w:r w:rsidRPr="00233060">
        <w:rPr>
          <w:u w:val="single"/>
        </w:rPr>
        <w:t>."The</w:t>
      </w:r>
      <w:proofErr w:type="spellEnd"/>
      <w:r w:rsidRPr="00233060">
        <w:rPr>
          <w:u w:val="single"/>
        </w:rPr>
        <w:t xml:space="preserv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5CBBDCA7" w14:textId="224828CC" w:rsidR="00327BF1" w:rsidRPr="00247A4E" w:rsidRDefault="00327BF1" w:rsidP="00327BF1">
      <w:pPr>
        <w:pStyle w:val="Heading4"/>
        <w:rPr>
          <w:rFonts w:cs="Times New Roman"/>
          <w:color w:val="000000" w:themeColor="text1"/>
        </w:rPr>
      </w:pPr>
      <w:r>
        <w:rPr>
          <w:rFonts w:cs="Times New Roman"/>
          <w:color w:val="000000" w:themeColor="text1"/>
        </w:rPr>
        <w:t xml:space="preserve">However, we require an enforcement mechanism for these principles since rights claims can’t exist in the state of nature. What follows is the </w:t>
      </w:r>
      <w:proofErr w:type="spellStart"/>
      <w:r w:rsidRPr="0025255B">
        <w:rPr>
          <w:rFonts w:cs="Times New Roman"/>
          <w:color w:val="000000" w:themeColor="text1"/>
        </w:rPr>
        <w:t>omnilateral</w:t>
      </w:r>
      <w:proofErr w:type="spellEnd"/>
      <w:r w:rsidRPr="0025255B">
        <w:rPr>
          <w:rFonts w:cs="Times New Roman"/>
          <w:color w:val="000000" w:themeColor="text1"/>
        </w:rPr>
        <w:t xml:space="preserve"> will.</w:t>
      </w:r>
      <w:r>
        <w:rPr>
          <w:rFonts w:cs="Times New Roman"/>
          <w:color w:val="000000" w:themeColor="text1"/>
        </w:rPr>
        <w:t xml:space="preserve"> </w:t>
      </w:r>
      <w:proofErr w:type="spellStart"/>
      <w:r w:rsidRPr="0025255B">
        <w:rPr>
          <w:color w:val="000000" w:themeColor="text1"/>
          <w:u w:val="single"/>
        </w:rPr>
        <w:t>Varden</w:t>
      </w:r>
      <w:proofErr w:type="spellEnd"/>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proofErr w:type="gramStart"/>
      <w:r w:rsidRPr="0025255B">
        <w:rPr>
          <w:rFonts w:eastAsia="Times New Roman"/>
          <w:color w:val="000000" w:themeColor="text1"/>
          <w:u w:val="single"/>
        </w:rPr>
        <w:t>that virtuous private individuals</w:t>
      </w:r>
      <w:proofErr w:type="gramEnd"/>
      <w:r w:rsidRPr="0025255B">
        <w:rPr>
          <w:rFonts w:eastAsia="Times New Roman"/>
          <w:color w:val="000000" w:themeColor="text1"/>
          <w:u w:val="single"/>
        </w:rPr>
        <w:t xml:space="preserve">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w:t>
      </w:r>
      <w:proofErr w:type="gramStart"/>
      <w:r w:rsidRPr="0025255B">
        <w:rPr>
          <w:rFonts w:eastAsia="Times New Roman"/>
          <w:color w:val="000000" w:themeColor="text1"/>
          <w:sz w:val="12"/>
        </w:rPr>
        <w:t>application</w:t>
      </w:r>
      <w:proofErr w:type="gramEnd"/>
      <w:r w:rsidRPr="0025255B">
        <w:rPr>
          <w:rFonts w:eastAsia="Times New Roman"/>
          <w:color w:val="000000" w:themeColor="text1"/>
          <w:sz w:val="12"/>
        </w:rPr>
        <w:t xml:space="preserve">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t>
      </w:r>
      <w:proofErr w:type="spellStart"/>
      <w:r w:rsidRPr="0025255B">
        <w:rPr>
          <w:rFonts w:eastAsia="Times New Roman"/>
          <w:color w:val="000000" w:themeColor="text1"/>
          <w:sz w:val="12"/>
        </w:rPr>
        <w:t>well disposed</w:t>
      </w:r>
      <w:proofErr w:type="spellEnd"/>
      <w:r w:rsidRPr="0025255B">
        <w:rPr>
          <w:rFonts w:eastAsia="Times New Roman"/>
          <w:color w:val="000000" w:themeColor="text1"/>
          <w:sz w:val="12"/>
        </w:rPr>
        <w:t xml:space="preserve">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w:t>
      </w:r>
      <w:proofErr w:type="gramStart"/>
      <w:r w:rsidRPr="0025255B">
        <w:rPr>
          <w:rFonts w:eastAsia="Times New Roman"/>
          <w:color w:val="000000" w:themeColor="text1"/>
          <w:sz w:val="12"/>
        </w:rPr>
        <w:t>contract</w:t>
      </w:r>
      <w:proofErr w:type="gramEnd"/>
      <w:r w:rsidRPr="0025255B">
        <w:rPr>
          <w:rFonts w:eastAsia="Times New Roman"/>
          <w:color w:val="000000" w:themeColor="text1"/>
          <w:sz w:val="12"/>
        </w:rPr>
        <w:t xml:space="preserve">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w:t>
      </w:r>
      <w:proofErr w:type="spellStart"/>
      <w:r w:rsidRPr="00294956">
        <w:rPr>
          <w:rFonts w:eastAsia="Times New Roman"/>
          <w:color w:val="000000" w:themeColor="text1"/>
          <w:highlight w:val="yellow"/>
          <w:u w:val="single"/>
        </w:rPr>
        <w:t>omnilateral</w:t>
      </w:r>
      <w:proofErr w:type="spellEnd"/>
      <w:r w:rsidRPr="00294956">
        <w:rPr>
          <w:rFonts w:eastAsia="Times New Roman"/>
          <w:color w:val="000000" w:themeColor="text1"/>
          <w:highlight w:val="yellow"/>
          <w:u w:val="single"/>
        </w:rPr>
        <w:t>”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w:t>
      </w:r>
      <w:proofErr w:type="gramStart"/>
      <w:r w:rsidRPr="0025255B">
        <w:rPr>
          <w:rFonts w:eastAsia="Times New Roman"/>
          <w:color w:val="000000" w:themeColor="text1"/>
          <w:u w:val="single"/>
        </w:rPr>
        <w:t>anyone</w:t>
      </w:r>
      <w:r w:rsidRPr="0025255B">
        <w:rPr>
          <w:rFonts w:eastAsia="Times New Roman"/>
          <w:color w:val="000000" w:themeColor="text1"/>
          <w:sz w:val="12"/>
        </w:rPr>
        <w:t xml:space="preserve"> in particular</w:t>
      </w:r>
      <w:proofErr w:type="gramEnd"/>
      <w:r w:rsidRPr="0025255B">
        <w:rPr>
          <w:rFonts w:eastAsia="Times New Roman"/>
          <w:color w:val="000000" w:themeColor="text1"/>
          <w:sz w:val="12"/>
        </w:rPr>
        <w:t xml:space="preserve">.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2E0CDAE5" w14:textId="77777777" w:rsidR="00327BF1" w:rsidRPr="004C6058" w:rsidRDefault="00327BF1" w:rsidP="00327BF1">
      <w:pPr>
        <w:pStyle w:val="Heading4"/>
      </w:pPr>
      <w:r>
        <w:t xml:space="preserve">Thus, the standard is consistency with the categorical imperative as enacted through the </w:t>
      </w:r>
      <w:proofErr w:type="spellStart"/>
      <w:r>
        <w:t>omnilateral</w:t>
      </w:r>
      <w:proofErr w:type="spellEnd"/>
      <w:r>
        <w:t xml:space="preserve"> will. </w:t>
      </w:r>
    </w:p>
    <w:p w14:paraId="3E365011" w14:textId="77777777" w:rsidR="00327BF1" w:rsidRPr="00E00B45" w:rsidRDefault="00327BF1" w:rsidP="00327BF1">
      <w:pPr>
        <w:pStyle w:val="Heading4"/>
      </w:pPr>
      <w:r w:rsidRPr="00E00B45">
        <w:t xml:space="preserve">Prefer – </w:t>
      </w:r>
    </w:p>
    <w:p w14:paraId="44AA83F4" w14:textId="77777777" w:rsidR="00327BF1" w:rsidRDefault="00327BF1" w:rsidP="00327BF1">
      <w:pPr>
        <w:pStyle w:val="Heading4"/>
      </w:pPr>
      <w:r>
        <w:t xml:space="preserve">1] 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5C94F112" w14:textId="77777777" w:rsidR="00327BF1" w:rsidRPr="00B622C5" w:rsidRDefault="00327BF1" w:rsidP="00327BF1">
      <w:pPr>
        <w:pStyle w:val="Heading4"/>
      </w:pPr>
      <w:r>
        <w:t xml:space="preserve">2] </w:t>
      </w:r>
      <w:r w:rsidRPr="00166590">
        <w:rPr>
          <w:u w:val="single"/>
        </w:rPr>
        <w:t>Equality</w:t>
      </w:r>
      <w:r>
        <w:t>— only</w:t>
      </w:r>
      <w:r w:rsidRPr="00B622C5">
        <w:t xml:space="preserve"> universalizable reason can effectively explain the perspectives of agents – that’s the best method for combatting oppression.</w:t>
      </w:r>
    </w:p>
    <w:p w14:paraId="58F119AD" w14:textId="77777777" w:rsidR="00327BF1" w:rsidRPr="00B622C5" w:rsidRDefault="00327BF1" w:rsidP="00327BF1">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r>
        <w:t xml:space="preserve"> Accessed 9/21/19 AHS//NPR</w:t>
      </w:r>
    </w:p>
    <w:p w14:paraId="3472EF65" w14:textId="0091BB6C" w:rsidR="00327BF1" w:rsidRDefault="00327BF1" w:rsidP="00327BF1">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166590">
        <w:rPr>
          <w:sz w:val="16"/>
        </w:rPr>
        <w:t xml:space="preserve">. </w:t>
      </w:r>
      <w:r w:rsidRPr="00166590">
        <w:rPr>
          <w:b/>
          <w:highlight w:val="yellow"/>
          <w:u w:val="single"/>
        </w:rPr>
        <w:t>The</w:t>
      </w:r>
      <w:r w:rsidRPr="00B622C5">
        <w:rPr>
          <w:sz w:val="16"/>
        </w:rPr>
        <w:t xml:space="preserve"> very </w:t>
      </w:r>
      <w:r w:rsidRPr="00166590">
        <w:rPr>
          <w:b/>
          <w:highlight w:val="yellow"/>
          <w:u w:val="single"/>
        </w:rPr>
        <w:t xml:space="preserve">fact that I cannot </w:t>
      </w:r>
      <w:r w:rsidRPr="00B622C5">
        <w:rPr>
          <w:b/>
          <w:u w:val="single"/>
        </w:rPr>
        <w:t xml:space="preserve">simply </w:t>
      </w:r>
      <w:r w:rsidRPr="00166590">
        <w:rPr>
          <w:b/>
          <w:highlight w:val="yellow"/>
          <w:u w:val="single"/>
        </w:rPr>
        <w:t>satisfy my desires without considering the rightness</w:t>
      </w:r>
      <w:r w:rsidRPr="00166590">
        <w:rPr>
          <w:sz w:val="16"/>
          <w:highlight w:val="yellow"/>
        </w:rPr>
        <w:t xml:space="preserve"> </w:t>
      </w:r>
      <w:r w:rsidRPr="00B622C5">
        <w:rPr>
          <w:sz w:val="16"/>
        </w:rPr>
        <w:t xml:space="preserve">or wrongness </w:t>
      </w:r>
      <w:r w:rsidRPr="00166590">
        <w:rPr>
          <w:b/>
          <w:highlight w:val="yellow"/>
          <w:u w:val="single"/>
        </w:rPr>
        <w:t>of my actions suggests that my empirical character must be held in check</w:t>
      </w:r>
      <w:r w:rsidRPr="00166590">
        <w:rPr>
          <w:sz w:val="16"/>
          <w:highlight w:val="yellow"/>
        </w:rPr>
        <w:t xml:space="preserve"> </w:t>
      </w:r>
      <w:r w:rsidRPr="00B622C5">
        <w:rPr>
          <w:sz w:val="16"/>
        </w:rPr>
        <w:t xml:space="preserve">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166590">
        <w:rPr>
          <w:b/>
          <w:highlight w:val="yellow"/>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166590">
        <w:rPr>
          <w:sz w:val="16"/>
        </w:rPr>
        <w:t xml:space="preserve">. </w:t>
      </w:r>
      <w:r w:rsidRPr="00166590">
        <w:rPr>
          <w:rStyle w:val="Emphasis"/>
          <w:highlight w:val="yellow"/>
        </w:rPr>
        <w:t>The individual is not allowed to exclude others</w:t>
      </w:r>
      <w:r w:rsidRPr="00166590">
        <w:rPr>
          <w:b/>
          <w:highlight w:val="yellow"/>
          <w:u w:val="single"/>
        </w:rPr>
        <w:t xml:space="preserve"> as</w:t>
      </w:r>
      <w:r w:rsidRPr="00B622C5">
        <w:rPr>
          <w:sz w:val="16"/>
        </w:rPr>
        <w:t xml:space="preserve"> rational </w:t>
      </w:r>
      <w:r w:rsidRPr="00166590">
        <w:rPr>
          <w:b/>
          <w:highlight w:val="yellow"/>
          <w:u w:val="single"/>
        </w:rPr>
        <w:t>moral agents</w:t>
      </w:r>
      <w:r w:rsidRPr="00166590">
        <w:rPr>
          <w:sz w:val="16"/>
          <w:highlight w:val="yellow"/>
        </w:rPr>
        <w:t xml:space="preserve"> </w:t>
      </w:r>
      <w:r w:rsidRPr="00B622C5">
        <w:rPr>
          <w:sz w:val="16"/>
        </w:rPr>
        <w:t xml:space="preserve">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166590">
        <w:rPr>
          <w:sz w:val="16"/>
        </w:rPr>
        <w:t xml:space="preserve">the </w:t>
      </w:r>
      <w:r w:rsidRPr="00166590">
        <w:rPr>
          <w:b/>
          <w:highlight w:val="yellow"/>
          <w:u w:val="single"/>
        </w:rPr>
        <w:t>universalizability</w:t>
      </w:r>
      <w:r w:rsidRPr="00166590">
        <w:rPr>
          <w:sz w:val="16"/>
          <w:highlight w:val="yellow"/>
        </w:rPr>
        <w:t xml:space="preserve"> </w:t>
      </w:r>
      <w:r w:rsidRPr="00B622C5">
        <w:rPr>
          <w:sz w:val="16"/>
        </w:rPr>
        <w:t xml:space="preserve">criterion </w:t>
      </w:r>
      <w:r w:rsidRPr="00166590">
        <w:rPr>
          <w:b/>
          <w:highlight w:val="yellow"/>
          <w:u w:val="single"/>
        </w:rPr>
        <w:t>is a principle of consistency and</w:t>
      </w:r>
      <w:r w:rsidRPr="00166590">
        <w:rPr>
          <w:sz w:val="16"/>
          <w:highlight w:val="yellow"/>
        </w:rPr>
        <w:t xml:space="preserve"> </w:t>
      </w:r>
      <w:r w:rsidRPr="00B622C5">
        <w:rPr>
          <w:sz w:val="16"/>
        </w:rPr>
        <w:t xml:space="preserve">a principle </w:t>
      </w:r>
      <w:r w:rsidRPr="00166590">
        <w:rPr>
          <w:sz w:val="16"/>
        </w:rPr>
        <w:t xml:space="preserve">of </w:t>
      </w:r>
      <w:r w:rsidRPr="00166590">
        <w:rPr>
          <w:b/>
          <w:highlight w:val="yellow"/>
          <w:u w:val="single"/>
        </w:rPr>
        <w:t>inclusion</w:t>
      </w:r>
      <w:r w:rsidRPr="00B622C5">
        <w:rPr>
          <w:b/>
          <w:u w:val="single"/>
        </w:rPr>
        <w:t>.</w:t>
      </w:r>
      <w:r w:rsidRPr="00B622C5">
        <w:rPr>
          <w:sz w:val="16"/>
        </w:rPr>
        <w:t xml:space="preserve"> That is, in choosing my maxims </w:t>
      </w:r>
      <w:r w:rsidRPr="00166590">
        <w:rPr>
          <w:b/>
          <w:highlight w:val="yellow"/>
          <w:u w:val="single"/>
        </w:rPr>
        <w:t>I</w:t>
      </w:r>
      <w:r w:rsidRPr="00166590">
        <w:rPr>
          <w:sz w:val="16"/>
          <w:highlight w:val="yellow"/>
        </w:rPr>
        <w:t xml:space="preserve"> </w:t>
      </w:r>
      <w:r w:rsidRPr="00B622C5">
        <w:rPr>
          <w:sz w:val="16"/>
        </w:rPr>
        <w:t xml:space="preserve">attempt to </w:t>
      </w:r>
      <w:r w:rsidRPr="00166590">
        <w:rPr>
          <w:b/>
          <w:highlight w:val="yellow"/>
          <w:u w:val="single"/>
        </w:rPr>
        <w:t>include the perspective of other moral agents</w:t>
      </w:r>
      <w:r w:rsidRPr="00B622C5">
        <w:rPr>
          <w:b/>
          <w:u w:val="single"/>
        </w:rPr>
        <w:t>.</w:t>
      </w:r>
    </w:p>
    <w:p w14:paraId="3856BE99" w14:textId="456A02C7" w:rsidR="00327BF1" w:rsidRPr="0017325A" w:rsidRDefault="00327BF1" w:rsidP="00327BF1">
      <w:pPr>
        <w:pStyle w:val="Analytic"/>
        <w:rPr>
          <w:b w:val="0"/>
        </w:rPr>
      </w:pPr>
      <w:r>
        <w:t xml:space="preserve">3] </w:t>
      </w:r>
      <w:r w:rsidRPr="00E410B8">
        <w:rPr>
          <w:rFonts w:asciiTheme="minorHAnsi" w:hAnsiTheme="minorHAnsi" w:cstheme="minorHAnsi"/>
        </w:rPr>
        <w:t xml:space="preserve">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E410B8">
        <w:rPr>
          <w:rFonts w:asciiTheme="minorHAnsi" w:hAnsiTheme="minorHAnsi" w:cstheme="minorHAnsi"/>
          <w:bCs/>
          <w:szCs w:val="26"/>
        </w:rPr>
        <w:t xml:space="preserve">Ideal theory prevents epistemic bias since by abstracting away from our identities and factors that cloud or </w:t>
      </w:r>
      <w:proofErr w:type="gramStart"/>
      <w:r w:rsidRPr="00E410B8">
        <w:rPr>
          <w:rFonts w:asciiTheme="minorHAnsi" w:hAnsiTheme="minorHAnsi" w:cstheme="minorHAnsi"/>
          <w:bCs/>
          <w:szCs w:val="26"/>
        </w:rPr>
        <w:t>judgement</w:t>
      </w:r>
      <w:proofErr w:type="gramEnd"/>
      <w:r w:rsidRPr="00E410B8">
        <w:rPr>
          <w:rFonts w:asciiTheme="minorHAnsi" w:hAnsiTheme="minorHAnsi" w:cstheme="minorHAnsi"/>
          <w:bCs/>
          <w:szCs w:val="26"/>
        </w:rPr>
        <w:t xml:space="preserve"> we can see what is universally good for everyone not just us. </w:t>
      </w:r>
      <w:r>
        <w:t xml:space="preserve">Ideal theory is good and </w:t>
      </w:r>
      <w:proofErr w:type="gramStart"/>
      <w:r>
        <w:t>outweighs .</w:t>
      </w:r>
      <w:proofErr w:type="gramEnd"/>
      <w:r>
        <w:t xml:space="preserve"> 4] Only ideal theory can justify the K. </w:t>
      </w:r>
      <w:r w:rsidRPr="006D6035">
        <w:rPr>
          <w:u w:val="single"/>
        </w:rPr>
        <w:t>Shelby 13,</w:t>
      </w:r>
      <w:r>
        <w:t xml:space="preserve"> </w:t>
      </w:r>
      <w:r w:rsidRPr="006D6035">
        <w:rPr>
          <w:b w:val="0"/>
          <w:sz w:val="12"/>
          <w:szCs w:val="12"/>
        </w:rPr>
        <w:t>Shelby, Tommie [</w:t>
      </w:r>
      <w:proofErr w:type="spellStart"/>
      <w:r w:rsidRPr="006D6035">
        <w:rPr>
          <w:b w:val="0"/>
          <w:sz w:val="12"/>
          <w:szCs w:val="12"/>
        </w:rPr>
        <w:t>Tadwell</w:t>
      </w:r>
      <w:proofErr w:type="spellEnd"/>
      <w:r w:rsidRPr="006D6035">
        <w:rPr>
          <w:b w:val="0"/>
          <w:sz w:val="12"/>
          <w:szCs w:val="12"/>
        </w:rPr>
        <w:t xml:space="preserve"> </w:t>
      </w:r>
      <w:proofErr w:type="spellStart"/>
      <w:r w:rsidRPr="006D6035">
        <w:rPr>
          <w:b w:val="0"/>
          <w:sz w:val="12"/>
          <w:szCs w:val="12"/>
        </w:rPr>
        <w:t>Titcomb</w:t>
      </w:r>
      <w:proofErr w:type="spellEnd"/>
      <w:r w:rsidRPr="006D6035">
        <w:rPr>
          <w:b w:val="0"/>
          <w:sz w:val="12"/>
          <w:szCs w:val="12"/>
        </w:rPr>
        <w:t xml:space="preserve"> Professor of </w:t>
      </w:r>
      <w:proofErr w:type="gramStart"/>
      <w:r w:rsidRPr="006D6035">
        <w:rPr>
          <w:b w:val="0"/>
          <w:sz w:val="12"/>
          <w:szCs w:val="12"/>
        </w:rPr>
        <w:t>African-American</w:t>
      </w:r>
      <w:proofErr w:type="gramEnd"/>
      <w:r w:rsidRPr="006D6035">
        <w:rPr>
          <w:b w:val="0"/>
          <w:sz w:val="12"/>
          <w:szCs w:val="12"/>
        </w:rPr>
        <w:t xml:space="preserve">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 xml:space="preserve">The trouble with </w:t>
      </w:r>
      <w:proofErr w:type="spellStart"/>
      <w:r w:rsidRPr="006D6035">
        <w:rPr>
          <w:b w:val="0"/>
          <w:sz w:val="12"/>
          <w:szCs w:val="24"/>
        </w:rPr>
        <w:t>Mills’s</w:t>
      </w:r>
      <w:proofErr w:type="spellEnd"/>
      <w:r w:rsidRPr="006D6035">
        <w:rPr>
          <w:b w:val="0"/>
          <w:sz w:val="12"/>
          <w:szCs w:val="24"/>
        </w:rPr>
        <w:t xml:space="preserve">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w:t>
      </w:r>
      <w:proofErr w:type="gramStart"/>
      <w:r w:rsidRPr="006D6035">
        <w:rPr>
          <w:b w:val="0"/>
          <w:sz w:val="12"/>
          <w:szCs w:val="24"/>
        </w:rPr>
        <w:t>In light of</w:t>
      </w:r>
      <w:proofErr w:type="gramEnd"/>
      <w:r w:rsidRPr="006D6035">
        <w:rPr>
          <w:b w:val="0"/>
          <w:sz w:val="12"/>
          <w:szCs w:val="24"/>
        </w:rPr>
        <w:t xml:space="preserve"> these considerations, I have two questions about </w:t>
      </w:r>
      <w:proofErr w:type="spellStart"/>
      <w:r w:rsidRPr="006D6035">
        <w:rPr>
          <w:b w:val="0"/>
          <w:sz w:val="12"/>
          <w:szCs w:val="24"/>
        </w:rPr>
        <w:t>Mills’s</w:t>
      </w:r>
      <w:proofErr w:type="spellEnd"/>
      <w:r w:rsidRPr="006D6035">
        <w:rPr>
          <w:b w:val="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72DAC34E" w14:textId="77777777" w:rsidR="00327BF1" w:rsidRDefault="00327BF1" w:rsidP="00327BF1">
      <w:pPr>
        <w:pStyle w:val="Heading4"/>
        <w:spacing w:line="240" w:lineRule="auto"/>
      </w:pPr>
      <w:r>
        <w:rPr>
          <w:color w:val="000000" w:themeColor="text1"/>
        </w:rPr>
        <w:t xml:space="preserve">And, </w:t>
      </w:r>
      <w:proofErr w:type="gramStart"/>
      <w:r>
        <w:t>Only</w:t>
      </w:r>
      <w:proofErr w:type="gramEnd"/>
      <w:r>
        <w:t xml:space="preserve"> evaluate Intents: </w:t>
      </w:r>
    </w:p>
    <w:p w14:paraId="4D836B5D" w14:textId="77777777" w:rsidR="00327BF1" w:rsidRDefault="00327BF1" w:rsidP="00327BF1">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45BABB82" w14:textId="77777777" w:rsidR="00327BF1" w:rsidRDefault="00327BF1" w:rsidP="00327BF1">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27B83335" w14:textId="5822A4CB" w:rsidR="00327BF1" w:rsidRPr="00841E17" w:rsidRDefault="00327BF1" w:rsidP="00327BF1">
      <w:pPr>
        <w:pStyle w:val="Heading4"/>
        <w:rPr>
          <w:rFonts w:cs="Times New Roman"/>
        </w:rPr>
      </w:pPr>
      <w:r>
        <w:rPr>
          <w:rFonts w:eastAsia="SimSun"/>
          <w:lang w:eastAsia="zh-CN"/>
        </w:rPr>
        <w:t xml:space="preserve">3.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1"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5B8451B7" w14:textId="77777777" w:rsidR="00327BF1" w:rsidRPr="002A2694" w:rsidRDefault="00327BF1" w:rsidP="00327BF1">
      <w:pPr>
        <w:pStyle w:val="Heading3"/>
        <w:rPr>
          <w:rFonts w:eastAsia="Times New Roman"/>
        </w:rPr>
      </w:pPr>
      <w:r>
        <w:t>Contention</w:t>
      </w:r>
    </w:p>
    <w:p w14:paraId="7E3FBF01" w14:textId="77777777" w:rsidR="00327BF1" w:rsidRDefault="00327BF1" w:rsidP="00327BF1">
      <w:pPr>
        <w:pStyle w:val="Heading4"/>
      </w:pPr>
      <w:r w:rsidRPr="00DC47FD">
        <w:t xml:space="preserve">I contend that </w:t>
      </w:r>
      <w:r>
        <w:t>a</w:t>
      </w:r>
      <w:r w:rsidRPr="0092724F">
        <w:t xml:space="preserve"> just government ought to recognize an unconditional right of workers to strike</w:t>
      </w:r>
    </w:p>
    <w:p w14:paraId="6E8F8E49" w14:textId="77777777" w:rsidR="00327BF1" w:rsidRPr="00DC47FD" w:rsidRDefault="00327BF1" w:rsidP="00327BF1">
      <w:pPr>
        <w:pStyle w:val="Heading4"/>
      </w:pPr>
      <w:r w:rsidRPr="00DC47FD">
        <w:t xml:space="preserve">1. Because employees are dependent upon their employer, employees are subject to a severe power imbalance that constitutes coercion. </w:t>
      </w:r>
    </w:p>
    <w:p w14:paraId="1452695A" w14:textId="77777777" w:rsidR="00327BF1" w:rsidRPr="007E109E" w:rsidRDefault="00327BF1" w:rsidP="00327BF1">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38A06BA6" w14:textId="2F554877" w:rsidR="00327BF1" w:rsidRPr="0092724F" w:rsidRDefault="00327BF1" w:rsidP="00327BF1">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bCs/>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92724F">
        <w:rPr>
          <w:sz w:val="12"/>
        </w:rPr>
        <w:t>a</w:t>
      </w:r>
      <w:proofErr w:type="spellEnd"/>
      <w:r w:rsidRPr="0092724F">
        <w:rPr>
          <w:sz w:val="12"/>
        </w:rPr>
        <w:t xml:space="preserve"> they</w:t>
      </w:r>
      <w:proofErr w:type="gramEnd"/>
      <w:r w:rsidRPr="0092724F">
        <w:rPr>
          <w:sz w:val="12"/>
        </w:rPr>
        <w:t xml:space="preserve"> get them (Manning 2003). Someone wanting employment does not negotiate about </w:t>
      </w:r>
      <w:proofErr w:type="gramStart"/>
      <w:r w:rsidRPr="0092724F">
        <w:rPr>
          <w:sz w:val="12"/>
        </w:rPr>
        <w:t>whether or not</w:t>
      </w:r>
      <w:proofErr w:type="gramEnd"/>
      <w:r w:rsidRPr="0092724F">
        <w:rPr>
          <w:sz w:val="12"/>
        </w:rPr>
        <w:t xml:space="preserve">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7D4EA3DB" w14:textId="77777777" w:rsidR="00327BF1" w:rsidRPr="00DC47FD" w:rsidRDefault="00327BF1" w:rsidP="00327BF1">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4CF0FF9F" w14:textId="77777777" w:rsidR="00327BF1" w:rsidRPr="00DC47FD" w:rsidRDefault="00327BF1" w:rsidP="00327BF1">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rsidRPr="0007429C">
        <w:t>https://b-ok.cc/book/2885756/a063b7</w:t>
      </w:r>
      <w:r w:rsidRPr="00DC47FD">
        <w:t xml:space="preserve">] </w:t>
      </w:r>
      <w:r>
        <w:t>Accessed 10/24/21</w:t>
      </w:r>
    </w:p>
    <w:p w14:paraId="548B425D" w14:textId="4253C3D0" w:rsidR="00327BF1" w:rsidRPr="000F63C6" w:rsidRDefault="00327BF1" w:rsidP="00327BF1">
      <w:pPr>
        <w:rPr>
          <w:sz w:val="12"/>
        </w:rPr>
      </w:pPr>
      <w:r w:rsidRPr="000F63C6">
        <w:rPr>
          <w:sz w:val="12"/>
        </w:rPr>
        <w:t xml:space="preserve">Although I emphasize meaningful work </w:t>
      </w:r>
      <w:proofErr w:type="gramStart"/>
      <w:r w:rsidRPr="000F63C6">
        <w:rPr>
          <w:sz w:val="12"/>
        </w:rPr>
        <w:t>as a means to</w:t>
      </w:r>
      <w:proofErr w:type="gramEnd"/>
      <w:r w:rsidRPr="000F63C6">
        <w:rPr>
          <w:sz w:val="12"/>
        </w:rPr>
        <w:t xml:space="preserve">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 xml:space="preserve">because it </w:t>
      </w:r>
      <w:proofErr w:type="gramStart"/>
      <w:r w:rsidRPr="00DC47FD">
        <w:rPr>
          <w:b/>
          <w:u w:val="single"/>
        </w:rPr>
        <w:t>opens up</w:t>
      </w:r>
      <w:proofErr w:type="gramEnd"/>
      <w:r w:rsidRPr="00DC47FD">
        <w:rPr>
          <w:b/>
          <w:u w:val="single"/>
        </w:rPr>
        <w:t xml:space="preserve">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7D7DCE30" w14:textId="77777777" w:rsidR="00327BF1" w:rsidRPr="00DC47FD" w:rsidRDefault="00327BF1" w:rsidP="00327BF1">
      <w:pPr>
        <w:pStyle w:val="Heading4"/>
      </w:pPr>
      <w:r w:rsidRPr="00DC47FD">
        <w:t xml:space="preserve">2. </w:t>
      </w:r>
      <w:r>
        <w:t>The right to strike</w:t>
      </w:r>
      <w:r w:rsidRPr="00DC47FD">
        <w:t xml:space="preserve"> prevent</w:t>
      </w:r>
      <w:r>
        <w:t>s managerial interference and ensures respect for workers, rather than allowing them to be used as means for the end of enriching an employer</w:t>
      </w:r>
    </w:p>
    <w:p w14:paraId="5E5BF08F" w14:textId="77777777" w:rsidR="00327BF1" w:rsidRPr="00DC47FD" w:rsidRDefault="00327BF1" w:rsidP="00327BF1">
      <w:pPr>
        <w:rPr>
          <w:sz w:val="16"/>
        </w:rPr>
      </w:pPr>
      <w:r w:rsidRPr="00DC47FD">
        <w:rPr>
          <w:rStyle w:val="Style13ptBold"/>
        </w:rPr>
        <w:t>Richman quoting Spencer 12</w:t>
      </w:r>
      <w:r w:rsidRPr="00DC47FD">
        <w:rPr>
          <w:sz w:val="16"/>
        </w:rPr>
        <w:t xml:space="preserve"> </w:t>
      </w:r>
      <w:r w:rsidRPr="00DC47FD">
        <w:t xml:space="preserve">[(Herbert Spencer (1820-1903) wrote those words in his Principles of Sociology (1896)); May 20, 2012; “Is There a Libertarian Case for Organized Labor?”; </w:t>
      </w:r>
      <w:hyperlink r:id="rId12" w:history="1">
        <w:r w:rsidRPr="00DC47FD">
          <w:t>http://reason.com/archives/2012/05/20/is-there-a-libertarian-case-for-organize</w:t>
        </w:r>
      </w:hyperlink>
      <w:r w:rsidRPr="00DC47FD">
        <w:t xml:space="preserve">] </w:t>
      </w:r>
      <w:r>
        <w:t>AHS//NPR Accessed 10/24/21</w:t>
      </w:r>
      <w:r w:rsidRPr="00DC47FD">
        <w:rPr>
          <w:sz w:val="16"/>
        </w:rPr>
        <w:t xml:space="preserve"> </w:t>
      </w:r>
      <w:r w:rsidRPr="00DC47FD">
        <w:t>*brackets in original</w:t>
      </w:r>
    </w:p>
    <w:p w14:paraId="08289829" w14:textId="20267E32" w:rsidR="00327BF1" w:rsidRPr="000F63C6" w:rsidRDefault="00327BF1" w:rsidP="00327BF1">
      <w:pPr>
        <w:rPr>
          <w:sz w:val="14"/>
        </w:rPr>
      </w:pPr>
      <w:r w:rsidRPr="000F63C6">
        <w:rPr>
          <w:sz w:val="14"/>
        </w:rPr>
        <w:t xml:space="preserve">Spencer begins his discussion of unions by noting that worker guilds (like </w:t>
      </w:r>
      <w:r w:rsidRPr="000F63C6">
        <w:rPr>
          <w:rStyle w:val="StyleUnderline"/>
          <w:bCs/>
          <w:highlight w:val="yellow"/>
        </w:rPr>
        <w:t>employers</w:t>
      </w:r>
      <w:r w:rsidRPr="000F63C6">
        <w:rPr>
          <w:sz w:val="14"/>
        </w:rPr>
        <w:t xml:space="preserve">) historically </w:t>
      </w:r>
      <w:r w:rsidRPr="000F63C6">
        <w:rPr>
          <w:rStyle w:val="StyleUnderline"/>
          <w:bCs/>
          <w:highlight w:val="yellow"/>
        </w:rPr>
        <w:t>prefer</w:t>
      </w:r>
      <w:r w:rsidRPr="000F63C6">
        <w:rPr>
          <w:rStyle w:val="StyleUnderline"/>
          <w:bCs/>
        </w:rPr>
        <w:t xml:space="preserve">red </w:t>
      </w:r>
      <w:r w:rsidRPr="000F63C6">
        <w:rPr>
          <w:rStyle w:val="StyleUnderline"/>
          <w:bCs/>
          <w:highlight w:val="yellow"/>
        </w:rPr>
        <w:t>suppression of competition to the uncertainties of market rivalry</w:t>
      </w:r>
      <w:r w:rsidRPr="000F63C6">
        <w:rPr>
          <w:sz w:val="14"/>
        </w:rPr>
        <w:t xml:space="preserve">. He criticizes the hypocrisy of workers who applaud competition that lowers the price of </w:t>
      </w:r>
      <w:proofErr w:type="gramStart"/>
      <w:r w:rsidRPr="000F63C6">
        <w:rPr>
          <w:sz w:val="14"/>
        </w:rPr>
        <w:t>bread, but</w:t>
      </w:r>
      <w:proofErr w:type="gramEnd"/>
      <w:r w:rsidRPr="000F63C6">
        <w:rPr>
          <w:sz w:val="14"/>
        </w:rPr>
        <w:t xml:space="preserve"> oppose competition that lowers the price of labor. He also argues that agitation for higher wages, if successful throughout the economy, would do workers no good because prices and hence the cost of living would rise </w:t>
      </w:r>
      <w:proofErr w:type="gramStart"/>
      <w:r w:rsidRPr="000F63C6">
        <w:rPr>
          <w:sz w:val="14"/>
        </w:rPr>
        <w:t>as a consequence</w:t>
      </w:r>
      <w:proofErr w:type="gramEnd"/>
      <w:r w:rsidRPr="000F63C6">
        <w:rPr>
          <w:sz w:val="14"/>
        </w:rPr>
        <w:t xml:space="preserve">. (This analysis requires some assumptions that may not in fact hold.) But he also notes that </w:t>
      </w:r>
      <w:r w:rsidRPr="00DC47FD">
        <w:rPr>
          <w:rStyle w:val="StyleUnderline"/>
          <w:rFonts w:eastAsia="Helvetica" w:cs="Helvetica"/>
        </w:rPr>
        <w:t>“</w:t>
      </w:r>
      <w:r w:rsidRPr="00DC47FD">
        <w:rPr>
          <w:rStyle w:val="StyleUnderline"/>
        </w:rPr>
        <w:t>[</w:t>
      </w:r>
      <w:r w:rsidRPr="000F63C6">
        <w:rPr>
          <w:rStyle w:val="StyleUnderline"/>
          <w:bCs/>
        </w:rPr>
        <w:t>u]</w:t>
      </w:r>
      <w:proofErr w:type="spellStart"/>
      <w:r w:rsidRPr="000F63C6">
        <w:rPr>
          <w:rStyle w:val="StyleUnderline"/>
          <w:bCs/>
        </w:rPr>
        <w:t>nder</w:t>
      </w:r>
      <w:proofErr w:type="spellEnd"/>
      <w:r w:rsidRPr="000F63C6">
        <w:rPr>
          <w:rStyle w:val="StyleUnderline"/>
          <w:bCs/>
        </w:rPr>
        <w:t xml:space="preserve"> their original form as friendly societies—</w:t>
      </w:r>
      <w:r w:rsidRPr="000F63C6">
        <w:rPr>
          <w:rStyle w:val="StyleUnderline"/>
          <w:bCs/>
          <w:highlight w:val="yellow"/>
        </w:rPr>
        <w:t>organizations for rendering mutual aid</w:t>
      </w:r>
      <w:r w:rsidRPr="000F63C6">
        <w:rPr>
          <w:rStyle w:val="StyleUnderline"/>
          <w:bCs/>
        </w:rPr>
        <w:t xml:space="preserve">–[unions] </w:t>
      </w:r>
      <w:r w:rsidRPr="000F63C6">
        <w:rPr>
          <w:rStyle w:val="StyleUnderline"/>
          <w:bCs/>
          <w:highlight w:val="yellow"/>
        </w:rPr>
        <w:t xml:space="preserve">were </w:t>
      </w:r>
      <w:r w:rsidRPr="000F63C6">
        <w:rPr>
          <w:rStyle w:val="StyleUnderline"/>
          <w:bCs/>
        </w:rPr>
        <w:t xml:space="preserve">of course extremely </w:t>
      </w:r>
      <w:r w:rsidRPr="000F63C6">
        <w:rPr>
          <w:rStyle w:val="StyleUnderline"/>
          <w:bCs/>
          <w:highlight w:val="yellow"/>
        </w:rPr>
        <w:t>beneficial</w:t>
      </w:r>
      <w:r w:rsidRPr="000F63C6">
        <w:rPr>
          <w:sz w:val="14"/>
        </w:rPr>
        <w:t>; and in so far as they subserve this purpose down to the present time, they can scarcely be too much lauded.</w:t>
      </w:r>
      <w:r w:rsidRPr="000F63C6">
        <w:rPr>
          <w:rFonts w:eastAsia="Helvetica" w:cs="Helvetica"/>
          <w:sz w:val="14"/>
        </w:rPr>
        <w:t>”</w:t>
      </w:r>
      <w:r w:rsidRPr="000F63C6">
        <w:rPr>
          <w:sz w:val="14"/>
        </w:rPr>
        <w:t xml:space="preserve"> </w:t>
      </w:r>
      <w:proofErr w:type="gramStart"/>
      <w:r w:rsidRPr="000F63C6">
        <w:rPr>
          <w:sz w:val="14"/>
        </w:rPr>
        <w:t>Nevertheless</w:t>
      </w:r>
      <w:proofErr w:type="gramEnd"/>
      <w:r w:rsidRPr="000F63C6">
        <w:rPr>
          <w:sz w:val="14"/>
        </w:rPr>
        <w:t xml:space="preserve"> Spencer asks: </w:t>
      </w:r>
      <w:r w:rsidRPr="000F63C6">
        <w:rPr>
          <w:rFonts w:eastAsia="Helvetica" w:cs="Helvetica"/>
          <w:sz w:val="14"/>
        </w:rPr>
        <w:t>“</w:t>
      </w:r>
      <w:r w:rsidRPr="000F63C6">
        <w:rPr>
          <w:sz w:val="14"/>
        </w:rPr>
        <w:t>Must we say that while ultimately failing in their proposed ends [higher wages], trade-unions do nothing else</w:t>
      </w:r>
      <w:r w:rsidRPr="000F63C6">
        <w:rPr>
          <w:rFonts w:eastAsia="Helvetica" w:cs="Helvetica"/>
          <w:sz w:val="14"/>
        </w:rPr>
        <w:t xml:space="preserve"> </w:t>
      </w:r>
      <w:r w:rsidRPr="000F63C6">
        <w:rPr>
          <w:sz w:val="14"/>
        </w:rPr>
        <w:t>than inflict grave mischiefs in trying to achieve them?</w:t>
      </w:r>
      <w:r w:rsidRPr="000F63C6">
        <w:rPr>
          <w:rFonts w:eastAsia="Helvetica" w:cs="Helvetica"/>
          <w:sz w:val="14"/>
        </w:rPr>
        <w:t>”</w:t>
      </w:r>
      <w:r w:rsidRPr="000F63C6">
        <w:rPr>
          <w:sz w:val="14"/>
        </w:rPr>
        <w:t xml:space="preserve"> His response: </w:t>
      </w:r>
      <w:r w:rsidRPr="000F63C6">
        <w:rPr>
          <w:rFonts w:eastAsia="Helvetica" w:cs="Helvetica"/>
          <w:sz w:val="14"/>
        </w:rPr>
        <w:t>“</w:t>
      </w:r>
      <w:r w:rsidRPr="000F63C6">
        <w:rPr>
          <w:sz w:val="14"/>
        </w:rPr>
        <w:t>This is too sweeping a conclusion</w:t>
      </w:r>
      <w:proofErr w:type="gramStart"/>
      <w:r w:rsidRPr="000F63C6">
        <w:rPr>
          <w:sz w:val="14"/>
        </w:rPr>
        <w:t>. . . .</w:t>
      </w:r>
      <w:proofErr w:type="gramEnd"/>
      <w:r w:rsidRPr="000F63C6">
        <w:rPr>
          <w:sz w:val="14"/>
        </w:rPr>
        <w:t xml:space="preserve"> There is an ultimate gain in moral and physical treatment if there is no ultimate gain in wages</w:t>
      </w:r>
      <w:r w:rsidRPr="000F63C6">
        <w:rPr>
          <w:rFonts w:eastAsia="Helvetica" w:cs="Helvetica"/>
          <w:sz w:val="14"/>
        </w:rPr>
        <w:t xml:space="preserve">.” </w:t>
      </w:r>
      <w:r w:rsidRPr="000F63C6">
        <w:rPr>
          <w:sz w:val="14"/>
        </w:rPr>
        <w:t>For example</w:t>
      </w:r>
      <w:r w:rsidRPr="000F63C6">
        <w:rPr>
          <w:rFonts w:eastAsia="Helvetica" w:cs="Helvetica"/>
          <w:sz w:val="14"/>
        </w:rPr>
        <w:t>:</w:t>
      </w:r>
      <w:r w:rsidRPr="000F63C6">
        <w:rPr>
          <w:sz w:val="14"/>
        </w:rPr>
        <w:t xml:space="preserve"> </w:t>
      </w:r>
      <w:r w:rsidRPr="000F63C6">
        <w:rPr>
          <w:rStyle w:val="StyleUnderline"/>
          <w:bCs/>
        </w:rPr>
        <w:t xml:space="preserve">Judging from their harsh and cruel conduct in the past, it is tolerably certain that </w:t>
      </w:r>
      <w:r w:rsidRPr="000F63C6">
        <w:rPr>
          <w:rStyle w:val="StyleUnderline"/>
          <w:bCs/>
          <w:highlight w:val="yellow"/>
        </w:rPr>
        <w:t>employers are now prevented from doing unfair things which they would else do</w:t>
      </w:r>
      <w:r w:rsidRPr="00DC47FD">
        <w:rPr>
          <w:rStyle w:val="StyleUnderline"/>
        </w:rPr>
        <w:t>.</w:t>
      </w:r>
      <w:r w:rsidRPr="000F63C6">
        <w:rPr>
          <w:sz w:val="14"/>
        </w:rPr>
        <w:t xml:space="preserve"> Conscious that trade-unions are ever ready to act, they are more prompt to raise wages when trade is flourishing than they would otherwise be; and when there come times of depression, </w:t>
      </w:r>
      <w:r w:rsidRPr="000F63C6">
        <w:rPr>
          <w:rStyle w:val="StyleUnderline"/>
          <w:bCs/>
          <w:highlight w:val="yellow"/>
        </w:rPr>
        <w:t>they lower wages only when they cannot otherwise carry on their businesses</w:t>
      </w:r>
      <w:r w:rsidRPr="000F63C6">
        <w:rPr>
          <w:sz w:val="14"/>
        </w:rPr>
        <w:t xml:space="preserve">. Knowing the power which unions can exert, </w:t>
      </w:r>
      <w:r w:rsidRPr="000F63C6">
        <w:rPr>
          <w:rStyle w:val="StyleUnderline"/>
          <w:bCs/>
          <w:highlight w:val="yellow"/>
        </w:rPr>
        <w:t xml:space="preserve">masters </w:t>
      </w:r>
      <w:r w:rsidRPr="000F63C6">
        <w:rPr>
          <w:rStyle w:val="StyleUnderline"/>
          <w:bCs/>
        </w:rPr>
        <w:t xml:space="preserve">are led to </w:t>
      </w:r>
      <w:r w:rsidRPr="000F63C6">
        <w:rPr>
          <w:rStyle w:val="StyleUnderline"/>
          <w:bCs/>
          <w:highlight w:val="yellow"/>
        </w:rPr>
        <w:t xml:space="preserve">treat the </w:t>
      </w:r>
      <w:r w:rsidRPr="000F63C6">
        <w:rPr>
          <w:rStyle w:val="StyleUnderline"/>
          <w:bCs/>
        </w:rPr>
        <w:t xml:space="preserve">individual </w:t>
      </w:r>
      <w:r w:rsidRPr="000F63C6">
        <w:rPr>
          <w:rStyle w:val="StyleUnderline"/>
          <w:bCs/>
          <w:highlight w:val="yellow"/>
        </w:rPr>
        <w:t xml:space="preserve">members </w:t>
      </w:r>
      <w:r w:rsidRPr="000F63C6">
        <w:rPr>
          <w:rStyle w:val="StyleUnderline"/>
          <w:bCs/>
        </w:rPr>
        <w:t xml:space="preserve">of them </w:t>
      </w:r>
      <w:r w:rsidRPr="000F63C6">
        <w:rPr>
          <w:rStyle w:val="StyleUnderline"/>
          <w:bCs/>
          <w:highlight w:val="yellow"/>
        </w:rPr>
        <w:t>with more respect than they would otherwise do</w:t>
      </w:r>
      <w:r w:rsidRPr="000F63C6">
        <w:rPr>
          <w:sz w:val="14"/>
          <w:highlight w:val="yellow"/>
        </w:rPr>
        <w:t xml:space="preserve">: </w:t>
      </w:r>
      <w:r w:rsidRPr="000F63C6">
        <w:rPr>
          <w:rStyle w:val="StyleUnderline"/>
          <w:bCs/>
          <w:highlight w:val="yellow"/>
        </w:rPr>
        <w:t>the status of the workman is almost necessarily raised</w:t>
      </w:r>
      <w:r w:rsidRPr="000F63C6">
        <w:rPr>
          <w:sz w:val="14"/>
        </w:rPr>
        <w:t xml:space="preserve">. Moreover, having a strong motive for keeping on good terms with the union, a master is more likely than he would else be to study the general convenience of his men, and to carry on his works in ways conducive to their health. He thinks unions are necessary because: </w:t>
      </w:r>
      <w:r w:rsidRPr="000F63C6">
        <w:rPr>
          <w:rFonts w:eastAsia="Helvetica" w:cs="Helvetica"/>
          <w:sz w:val="14"/>
        </w:rPr>
        <w:t>“</w:t>
      </w:r>
      <w:r w:rsidRPr="000F63C6">
        <w:rPr>
          <w:rStyle w:val="StyleUnderline"/>
          <w:bCs/>
        </w:rPr>
        <w:t xml:space="preserve">Everywhere </w:t>
      </w:r>
      <w:r w:rsidRPr="000F63C6">
        <w:rPr>
          <w:rStyle w:val="StyleUnderline"/>
          <w:bCs/>
          <w:highlight w:val="yellow"/>
        </w:rPr>
        <w:t xml:space="preserve">aggression begets resistance </w:t>
      </w:r>
      <w:r w:rsidRPr="000F63C6">
        <w:rPr>
          <w:rStyle w:val="StyleUnderline"/>
          <w:bCs/>
        </w:rPr>
        <w:t>and counter-aggression; and in our present transitional</w:t>
      </w:r>
      <w:r w:rsidRPr="00DC47FD">
        <w:rPr>
          <w:rStyle w:val="StyleUnderline"/>
        </w:rPr>
        <w:t xml:space="preserve"> </w:t>
      </w:r>
      <w:r w:rsidRPr="000F63C6">
        <w:rPr>
          <w:rStyle w:val="StyleUnderline"/>
          <w:bCs/>
        </w:rPr>
        <w:t xml:space="preserve">state, semi-militant and semi-industrial, </w:t>
      </w:r>
      <w:r w:rsidRPr="000F63C6">
        <w:rPr>
          <w:rStyle w:val="StyleUnderline"/>
          <w:bCs/>
          <w:highlight w:val="yellow"/>
        </w:rPr>
        <w:t>trespasses have to be kept in check by the fear of retaliatory trespasses</w:t>
      </w:r>
      <w:r w:rsidRPr="000F63C6">
        <w:rPr>
          <w:sz w:val="14"/>
        </w:rPr>
        <w:t>.</w:t>
      </w:r>
      <w:r w:rsidRPr="000F63C6">
        <w:rPr>
          <w:rFonts w:eastAsia="Helvetica" w:cs="Helvetica"/>
          <w:sz w:val="14"/>
        </w:rPr>
        <w:t>”</w:t>
      </w:r>
      <w:r w:rsidRPr="000F63C6">
        <w:rPr>
          <w:sz w:val="14"/>
        </w:rPr>
        <w:t xml:space="preserve"> Spencer, however, is not satisfied with this </w:t>
      </w:r>
      <w:proofErr w:type="gramStart"/>
      <w:r w:rsidRPr="000F63C6">
        <w:rPr>
          <w:sz w:val="14"/>
        </w:rPr>
        <w:t>state of affairs</w:t>
      </w:r>
      <w:proofErr w:type="gramEnd"/>
      <w:r w:rsidRPr="000F63C6">
        <w:rPr>
          <w:sz w:val="14"/>
        </w:rPr>
        <w:t xml:space="preserve">. Recall that he says trade-unions belong to </w:t>
      </w:r>
      <w:r w:rsidRPr="000F63C6">
        <w:rPr>
          <w:rFonts w:eastAsia="Helvetica" w:cs="Helvetica"/>
          <w:sz w:val="14"/>
        </w:rPr>
        <w:t>“a passing phase of social evolution.” Passing to what?</w:t>
      </w:r>
      <w:r w:rsidRPr="000F63C6">
        <w:rPr>
          <w:sz w:val="14"/>
        </w:rPr>
        <w:t xml:space="preserve"> </w:t>
      </w:r>
    </w:p>
    <w:p w14:paraId="18621A30" w14:textId="71EEF226" w:rsidR="00327BF1" w:rsidRPr="00DC47FD" w:rsidRDefault="00327BF1" w:rsidP="00327BF1">
      <w:pPr>
        <w:pStyle w:val="Heading4"/>
      </w:pPr>
      <w:r>
        <w:t>3. The rights to strike and utilize collective bargaining</w:t>
      </w:r>
      <w:r w:rsidRPr="00DC47FD">
        <w:t xml:space="preserve"> are key to ensuring </w:t>
      </w:r>
      <w:r>
        <w:t>an autonomous citizenry</w:t>
      </w:r>
      <w:r w:rsidRPr="00DC47FD">
        <w:t>.</w:t>
      </w:r>
    </w:p>
    <w:p w14:paraId="06936D3F" w14:textId="77777777" w:rsidR="00327BF1" w:rsidRDefault="00327BF1" w:rsidP="00327BF1">
      <w:r w:rsidRPr="00920C66">
        <w:rPr>
          <w:rStyle w:val="Style13ptBold"/>
        </w:rPr>
        <w:t>Rodgers 14</w:t>
      </w:r>
      <w:r>
        <w:t xml:space="preserve">, </w:t>
      </w:r>
      <w:r w:rsidRPr="00DC47FD">
        <w:t>Lisa</w:t>
      </w:r>
      <w:r>
        <w:t>,</w:t>
      </w:r>
      <w:r>
        <w:rPr>
          <w:rFonts w:eastAsia="MS Mincho" w:cs="MS Mincho"/>
        </w:rPr>
        <w:t xml:space="preserve"> “</w:t>
      </w:r>
      <w:proofErr w:type="spellStart"/>
      <w:r w:rsidRPr="00DC47FD">
        <w:t>Labour</w:t>
      </w:r>
      <w:proofErr w:type="spellEnd"/>
      <w:r w:rsidRPr="00DC47FD">
        <w:t xml:space="preserve"> law and Kantian ideas of legality and citizenship.</w:t>
      </w:r>
      <w:r>
        <w:t>”</w:t>
      </w:r>
      <w:r w:rsidRPr="00DC47FD">
        <w:t xml:space="preserve">  University of Leicester School of Law Research Paper No. 14-07.</w:t>
      </w:r>
      <w:r>
        <w:t xml:space="preserve"> 2014 [</w:t>
      </w:r>
      <w:r w:rsidRPr="005874BC">
        <w:t>https://papers.ssrn.com/sol3/papers.cfm?abstract_id=2</w:t>
      </w:r>
    </w:p>
    <w:p w14:paraId="60D2BA24" w14:textId="77777777" w:rsidR="00327BF1" w:rsidRPr="00DC47FD" w:rsidRDefault="00327BF1" w:rsidP="00327BF1">
      <w:r w:rsidRPr="005874BC">
        <w:t>403498</w:t>
      </w:r>
      <w:r>
        <w:t>]</w:t>
      </w:r>
      <w:r w:rsidRPr="00DC47FD">
        <w:t xml:space="preserve"> </w:t>
      </w:r>
      <w:r>
        <w:t>AHS//NPR Accessed 10/24/21</w:t>
      </w:r>
    </w:p>
    <w:p w14:paraId="0F3BD005" w14:textId="77777777" w:rsidR="00327BF1" w:rsidRPr="00C160A7" w:rsidRDefault="00327BF1" w:rsidP="00327BF1">
      <w:pPr>
        <w:rPr>
          <w:b/>
          <w:u w:val="single"/>
        </w:rPr>
      </w:pPr>
      <w:r w:rsidRPr="000F63C6">
        <w:rPr>
          <w:sz w:val="8"/>
        </w:rPr>
        <w:t xml:space="preserve">This final section will discuss whether the Kantian idea of citizenship can add anything to the debates outlined in this article. First, the Kantian theory of citizenship will be considered </w:t>
      </w:r>
      <w:proofErr w:type="gramStart"/>
      <w:r w:rsidRPr="000F63C6">
        <w:rPr>
          <w:sz w:val="8"/>
        </w:rPr>
        <w:t>in light of</w:t>
      </w:r>
      <w:proofErr w:type="gramEnd"/>
      <w:r w:rsidRPr="000F63C6">
        <w:rPr>
          <w:sz w:val="8"/>
        </w:rPr>
        <w:t xml:space="preserve"> more modern theories of citizenship thought relevant to the </w:t>
      </w:r>
      <w:proofErr w:type="spellStart"/>
      <w:r w:rsidRPr="000F63C6">
        <w:rPr>
          <w:sz w:val="8"/>
        </w:rPr>
        <w:t>labour</w:t>
      </w:r>
      <w:proofErr w:type="spellEnd"/>
      <w:r w:rsidRPr="000F63C6">
        <w:rPr>
          <w:sz w:val="8"/>
        </w:rPr>
        <w:t xml:space="preserve"> law field. Second, these more modern theories of citizenship will be considered </w:t>
      </w:r>
      <w:proofErr w:type="gramStart"/>
      <w:r w:rsidRPr="000F63C6">
        <w:rPr>
          <w:sz w:val="8"/>
        </w:rPr>
        <w:t>in light of</w:t>
      </w:r>
      <w:proofErr w:type="gramEnd"/>
      <w:r w:rsidRPr="000F63C6">
        <w:rPr>
          <w:sz w:val="8"/>
        </w:rPr>
        <w:t xml:space="preserve"> their correspondence with the traditional theories of </w:t>
      </w:r>
      <w:proofErr w:type="spellStart"/>
      <w:r w:rsidRPr="000F63C6">
        <w:rPr>
          <w:sz w:val="8"/>
        </w:rPr>
        <w:t>labour</w:t>
      </w:r>
      <w:proofErr w:type="spellEnd"/>
      <w:r w:rsidRPr="000F63C6">
        <w:rPr>
          <w:sz w:val="8"/>
        </w:rPr>
        <w:t xml:space="preserve"> law outlined earlier in the article. The final part of this section will seek to argue that Kantian ideas of citizenship increase the potential for the full exposition of the usefulness of the traditional theories of </w:t>
      </w:r>
      <w:proofErr w:type="spellStart"/>
      <w:r w:rsidRPr="000F63C6">
        <w:rPr>
          <w:sz w:val="8"/>
        </w:rPr>
        <w:t>labour</w:t>
      </w:r>
      <w:proofErr w:type="spellEnd"/>
      <w:r w:rsidRPr="000F63C6">
        <w:rPr>
          <w:sz w:val="8"/>
        </w:rPr>
        <w:t xml:space="preserve"> law. </w:t>
      </w:r>
      <w:r w:rsidRPr="00DC47FD">
        <w:rPr>
          <w:rStyle w:val="StyleUnderline"/>
        </w:rPr>
        <w:t xml:space="preserve">This Kantian idea of citizenship allows a consideration of the best possible alignment of dignity as autonomy and dignity as redistribution in the </w:t>
      </w:r>
      <w:proofErr w:type="spellStart"/>
      <w:r w:rsidRPr="00DC47FD">
        <w:rPr>
          <w:rStyle w:val="StyleUnderline"/>
        </w:rPr>
        <w:t>labour</w:t>
      </w:r>
      <w:proofErr w:type="spellEnd"/>
      <w:r w:rsidRPr="00DC47FD">
        <w:rPr>
          <w:rStyle w:val="StyleUnderline"/>
        </w:rPr>
        <w:t xml:space="preserve"> law field</w:t>
      </w:r>
      <w:r w:rsidRPr="000F63C6">
        <w:rPr>
          <w:sz w:val="8"/>
        </w:rPr>
        <w:t xml:space="preserve">. It is argued that this provides a starting point from which to reconsider the normative function of </w:t>
      </w:r>
      <w:proofErr w:type="spellStart"/>
      <w:r w:rsidRPr="000F63C6">
        <w:rPr>
          <w:sz w:val="8"/>
        </w:rPr>
        <w:t>labour</w:t>
      </w:r>
      <w:proofErr w:type="spellEnd"/>
      <w:r w:rsidRPr="000F63C6">
        <w:rPr>
          <w:sz w:val="8"/>
        </w:rPr>
        <w:t xml:space="preserve"> </w:t>
      </w:r>
      <w:proofErr w:type="gramStart"/>
      <w:r w:rsidRPr="000F63C6">
        <w:rPr>
          <w:sz w:val="8"/>
        </w:rPr>
        <w:t>law as a whole</w:t>
      </w:r>
      <w:proofErr w:type="gramEnd"/>
      <w:r w:rsidRPr="000F63C6">
        <w:rPr>
          <w:sz w:val="8"/>
        </w:rPr>
        <w:t xml:space="preserve">. A discussion of citizenship has not featured prominently in the </w:t>
      </w:r>
      <w:proofErr w:type="spellStart"/>
      <w:r w:rsidRPr="000F63C6">
        <w:rPr>
          <w:sz w:val="8"/>
        </w:rPr>
        <w:t>labour</w:t>
      </w:r>
      <w:proofErr w:type="spellEnd"/>
      <w:r w:rsidRPr="000F63C6">
        <w:rPr>
          <w:sz w:val="8"/>
        </w:rPr>
        <w:t xml:space="preserve"> law literature.75 Where it has been considered, the starting point has tended to be the work of Marshall in designating categories of citizenship. Marshall presents three main categories of citizenship (political, </w:t>
      </w:r>
      <w:proofErr w:type="gramStart"/>
      <w:r w:rsidRPr="000F63C6">
        <w:rPr>
          <w:sz w:val="8"/>
        </w:rPr>
        <w:t>civil</w:t>
      </w:r>
      <w:proofErr w:type="gramEnd"/>
      <w:r w:rsidRPr="000F63C6">
        <w:rPr>
          <w:sz w:val="8"/>
        </w:rPr>
        <w:t xml:space="preserve"> and social) but also refers to a ‘secondary’ category of industrial citizenship. Marshall concentrates on the rights which attach to different categories of citizenship. </w:t>
      </w:r>
      <w:r w:rsidRPr="00DC47FD">
        <w:rPr>
          <w:rStyle w:val="StyleUnderline"/>
        </w:rPr>
        <w:t>On Marshall’s scheme, rights within the industrial citizenship category are derived from civil rather than social rights.76</w:t>
      </w:r>
      <w:r w:rsidRPr="000F63C6">
        <w:rPr>
          <w:position w:val="13"/>
          <w:sz w:val="8"/>
        </w:rPr>
        <w:t xml:space="preserve"> </w:t>
      </w:r>
      <w:r w:rsidRPr="000F63C6">
        <w:rPr>
          <w:rStyle w:val="StyleUnderline"/>
          <w:highlight w:val="yellow"/>
        </w:rPr>
        <w:t>Industrial citizenship is an extension of freedom of association</w:t>
      </w:r>
      <w:r w:rsidRPr="000F63C6">
        <w:rPr>
          <w:sz w:val="8"/>
        </w:rPr>
        <w:t xml:space="preserve">, rather than a right to adequate income.77 In part this may be explained by Marshall’s rather negative view of social rights. For Marshall, these </w:t>
      </w:r>
      <w:r w:rsidRPr="00DC47FD">
        <w:rPr>
          <w:rStyle w:val="StyleUnderline"/>
        </w:rPr>
        <w:t>social rights are not particularly useful to workers because they are ‘passive rights’ and so refer only to the allocation of resources by the state.</w:t>
      </w:r>
      <w:r w:rsidRPr="000F63C6">
        <w:rPr>
          <w:sz w:val="8"/>
        </w:rPr>
        <w:t xml:space="preserve"> Marshall’s theory is a theory of social change, and citizenship increases through the ability of individuals be involved in the struggle for rights.78 It is perhaps for this reason that Marshall distinguishes rights associated with industrial citizenship as a separate category</w:t>
      </w:r>
      <w:r w:rsidRPr="00DC47FD">
        <w:rPr>
          <w:rStyle w:val="StyleUnderline"/>
        </w:rPr>
        <w:t xml:space="preserve">. Freedom of association and </w:t>
      </w:r>
      <w:r w:rsidRPr="000F63C6">
        <w:rPr>
          <w:rStyle w:val="StyleUnderline"/>
          <w:highlight w:val="yellow"/>
        </w:rPr>
        <w:t>rights to collective bargaining allow active participation of citizens in the determination of their rights</w:t>
      </w:r>
      <w:r w:rsidRPr="00DC47FD">
        <w:rPr>
          <w:rStyle w:val="StyleUnderline"/>
        </w:rPr>
        <w:t>.</w:t>
      </w:r>
      <w:r w:rsidRPr="000F63C6">
        <w:rPr>
          <w:sz w:val="8"/>
        </w:rPr>
        <w:t xml:space="preserve"> </w:t>
      </w:r>
      <w:r w:rsidRPr="00DC47FD">
        <w:rPr>
          <w:rStyle w:val="StyleUnderline"/>
        </w:rPr>
        <w:t xml:space="preserve">This is ultimately a more effective way of determining </w:t>
      </w:r>
      <w:proofErr w:type="spellStart"/>
      <w:r w:rsidRPr="00DC47FD">
        <w:rPr>
          <w:rStyle w:val="StyleUnderline"/>
        </w:rPr>
        <w:t>labour</w:t>
      </w:r>
      <w:proofErr w:type="spellEnd"/>
      <w:r w:rsidRPr="00DC47FD">
        <w:rPr>
          <w:rStyle w:val="StyleUnderline"/>
        </w:rPr>
        <w:t xml:space="preserve"> standards than reliance on state action.</w:t>
      </w:r>
      <w:r w:rsidRPr="000F63C6">
        <w:rPr>
          <w:sz w:val="8"/>
        </w:rPr>
        <w:t xml:space="preserve"> Marshall’s scheme resonates to a considerable extent with the work of Kahn-Freund. In a similar way to Marshall, Kahn Freund viewed the industrial system as functioning outside of the confines of the state. Kahn Freund referred to the fact the development of trade unions in Britain had occurred outside of the Parliamentary franchise and state guarantees in the form of legislation.79 </w:t>
      </w:r>
      <w:r w:rsidRPr="00DC47FD">
        <w:rPr>
          <w:rStyle w:val="StyleUnderline"/>
        </w:rPr>
        <w:t xml:space="preserve">Both unions and employers had come to see </w:t>
      </w:r>
      <w:r w:rsidRPr="000F63C6">
        <w:rPr>
          <w:rStyle w:val="StyleUnderline"/>
          <w:highlight w:val="yellow"/>
        </w:rPr>
        <w:t xml:space="preserve">regulation </w:t>
      </w:r>
      <w:r w:rsidRPr="00DC47FD">
        <w:rPr>
          <w:rStyle w:val="StyleUnderline"/>
        </w:rPr>
        <w:t xml:space="preserve">as </w:t>
      </w:r>
      <w:r w:rsidRPr="000F63C6">
        <w:rPr>
          <w:rStyle w:val="StyleUnderline"/>
          <w:highlight w:val="yellow"/>
        </w:rPr>
        <w:t>state interference in their processes of bargaining and autonomous norm creation</w:t>
      </w:r>
      <w:r w:rsidRPr="000F63C6">
        <w:rPr>
          <w:sz w:val="8"/>
        </w:rPr>
        <w:t xml:space="preserve">.80 According to Kahn Freund, </w:t>
      </w:r>
      <w:r w:rsidRPr="00DC47FD">
        <w:rPr>
          <w:rStyle w:val="StyleUnderline"/>
        </w:rPr>
        <w:t xml:space="preserve">the </w:t>
      </w:r>
      <w:r w:rsidRPr="000F63C6">
        <w:rPr>
          <w:rStyle w:val="StyleUnderline"/>
          <w:highlight w:val="yellow"/>
        </w:rPr>
        <w:t xml:space="preserve">free negotiation </w:t>
      </w:r>
      <w:r w:rsidRPr="00DC47FD">
        <w:rPr>
          <w:rStyle w:val="StyleUnderline"/>
        </w:rPr>
        <w:t xml:space="preserve">of trade unions and employers </w:t>
      </w:r>
      <w:r w:rsidRPr="000F63C6">
        <w:rPr>
          <w:rStyle w:val="StyleUnderline"/>
          <w:highlight w:val="yellow"/>
        </w:rPr>
        <w:t>through collective bargaining allowed both the aims of employees and employers to be met</w:t>
      </w:r>
      <w:r w:rsidRPr="00DC47FD">
        <w:rPr>
          <w:rStyle w:val="StyleUnderline"/>
        </w:rPr>
        <w:t xml:space="preserve">. On the one hand, </w:t>
      </w:r>
      <w:r w:rsidRPr="000F63C6">
        <w:rPr>
          <w:rStyle w:val="StyleUnderline"/>
          <w:highlight w:val="yellow"/>
        </w:rPr>
        <w:t>workers achieved</w:t>
      </w:r>
      <w:r w:rsidRPr="00DC47FD">
        <w:rPr>
          <w:rStyle w:val="StyleUnderline"/>
        </w:rPr>
        <w:t xml:space="preserve"> a certain power (</w:t>
      </w:r>
      <w:r w:rsidRPr="000F63C6">
        <w:rPr>
          <w:rStyle w:val="StyleUnderline"/>
          <w:highlight w:val="yellow"/>
        </w:rPr>
        <w:t>autonomy</w:t>
      </w:r>
      <w:r w:rsidRPr="00DC47FD">
        <w:rPr>
          <w:rStyle w:val="StyleUnderline"/>
        </w:rPr>
        <w:t xml:space="preserve">) </w:t>
      </w:r>
      <w:r w:rsidRPr="000F63C6">
        <w:rPr>
          <w:rStyle w:val="StyleUnderline"/>
          <w:highlight w:val="yellow"/>
        </w:rPr>
        <w:t xml:space="preserve">through their involvement </w:t>
      </w:r>
      <w:r w:rsidRPr="00DC47FD">
        <w:rPr>
          <w:rStyle w:val="StyleUnderline"/>
        </w:rPr>
        <w:t xml:space="preserve">in the negotiation process. On the other hand, </w:t>
      </w:r>
      <w:r w:rsidRPr="000F63C6">
        <w:rPr>
          <w:rStyle w:val="StyleUnderline"/>
          <w:highlight w:val="yellow"/>
        </w:rPr>
        <w:t>collective bargaining allowed redistribution from employers to workers. This ensured that workers achieved moral dignity</w:t>
      </w:r>
      <w:r w:rsidRPr="00DC47FD">
        <w:rPr>
          <w:rStyle w:val="StyleUnderline"/>
        </w:rPr>
        <w:t xml:space="preserve">. </w:t>
      </w:r>
      <w:r w:rsidRPr="000F63C6">
        <w:rPr>
          <w:sz w:val="8"/>
        </w:rPr>
        <w:t xml:space="preserve">It also guaranteed a level of industrial peace to the benefit of employers. The problem of course with both Marshall and Kahn Freund’s schemes is that they </w:t>
      </w:r>
      <w:proofErr w:type="spellStart"/>
      <w:r w:rsidRPr="000F63C6">
        <w:rPr>
          <w:sz w:val="8"/>
        </w:rPr>
        <w:t>undertheorise</w:t>
      </w:r>
      <w:proofErr w:type="spellEnd"/>
      <w:r w:rsidRPr="000F63C6">
        <w:rPr>
          <w:sz w:val="8"/>
        </w:rPr>
        <w:t xml:space="preserve"> the role of the state in the industrial system. State interference is viewed </w:t>
      </w:r>
      <w:proofErr w:type="gramStart"/>
      <w:r w:rsidRPr="000F63C6">
        <w:rPr>
          <w:sz w:val="8"/>
        </w:rPr>
        <w:t>negatively</w:t>
      </w:r>
      <w:proofErr w:type="gramEnd"/>
      <w:r w:rsidRPr="000F63C6">
        <w:rPr>
          <w:sz w:val="8"/>
        </w:rPr>
        <w:t xml:space="preserve"> and state action is viewed as detrimental to worker autonomy. As we have seen, this negative view of the state has potentially deleterious consequences for the design and function of </w:t>
      </w:r>
      <w:proofErr w:type="spellStart"/>
      <w:r w:rsidRPr="000F63C6">
        <w:rPr>
          <w:sz w:val="8"/>
        </w:rPr>
        <w:t>labour</w:t>
      </w:r>
      <w:proofErr w:type="spellEnd"/>
      <w:r w:rsidRPr="000F63C6">
        <w:rPr>
          <w:sz w:val="8"/>
        </w:rPr>
        <w:t xml:space="preserve"> law. </w:t>
      </w:r>
      <w:r w:rsidRPr="00DC47FD">
        <w:rPr>
          <w:rStyle w:val="StyleUnderline"/>
        </w:rPr>
        <w:t>As autonomy is viewed in contradistinction to state action, employment law is designed with insufficient consideration given to how to further worker autonomy through law. The focus is on (dignity as) redistribution rather than autonomy.</w:t>
      </w:r>
      <w:r w:rsidRPr="000F63C6">
        <w:rPr>
          <w:sz w:val="8"/>
        </w:rPr>
        <w:t xml:space="preserve"> To a certain extent, these effects were predicted by </w:t>
      </w:r>
      <w:proofErr w:type="spellStart"/>
      <w:r w:rsidRPr="000F63C6">
        <w:rPr>
          <w:sz w:val="8"/>
        </w:rPr>
        <w:t>Sinzheimer</w:t>
      </w:r>
      <w:proofErr w:type="spellEnd"/>
      <w:r w:rsidRPr="000F63C6">
        <w:rPr>
          <w:sz w:val="8"/>
        </w:rPr>
        <w:t xml:space="preserve">, who </w:t>
      </w:r>
      <w:proofErr w:type="spellStart"/>
      <w:r w:rsidRPr="000F63C6">
        <w:rPr>
          <w:sz w:val="8"/>
        </w:rPr>
        <w:t>emphasised</w:t>
      </w:r>
      <w:proofErr w:type="spellEnd"/>
      <w:r w:rsidRPr="000F63C6">
        <w:rPr>
          <w:sz w:val="8"/>
        </w:rPr>
        <w:t xml:space="preserve"> the importance of dignity as autonomy in his work and the role of the state in ensuring that dignity. According to </w:t>
      </w:r>
      <w:proofErr w:type="spellStart"/>
      <w:r w:rsidRPr="000F63C6">
        <w:rPr>
          <w:sz w:val="8"/>
        </w:rPr>
        <w:t>Sinzheimer</w:t>
      </w:r>
      <w:proofErr w:type="spellEnd"/>
      <w:r w:rsidRPr="000F63C6">
        <w:rPr>
          <w:sz w:val="8"/>
        </w:rPr>
        <w:t xml:space="preserve">, the state had to be co-opted by the industrial system in order that the industrial system achieved social ends. Workers and employers had to be involved in the making of law through the economic constitution. Without this involvement and the existence of an economic constitution, the law would fail to restrain the control of the markets by capital. Processes of commodification would proceed unchecked, and this would have </w:t>
      </w:r>
      <w:proofErr w:type="spellStart"/>
      <w:r w:rsidRPr="000F63C6">
        <w:rPr>
          <w:sz w:val="8"/>
        </w:rPr>
        <w:t>disasterous</w:t>
      </w:r>
      <w:proofErr w:type="spellEnd"/>
      <w:r w:rsidRPr="000F63C6">
        <w:rPr>
          <w:sz w:val="8"/>
        </w:rPr>
        <w:t xml:space="preserve"> effects for workers. The function of the economic constitution was to ensure worker empowerment through the involvement of workers in the state decision making process. It was also to ensure that economic processes were </w:t>
      </w:r>
      <w:proofErr w:type="spellStart"/>
      <w:r w:rsidRPr="000F63C6">
        <w:rPr>
          <w:sz w:val="8"/>
        </w:rPr>
        <w:t>recognised</w:t>
      </w:r>
      <w:proofErr w:type="spellEnd"/>
      <w:r w:rsidRPr="000F63C6">
        <w:rPr>
          <w:sz w:val="8"/>
        </w:rPr>
        <w:t xml:space="preserve"> in their social context. It was essential that workers’ needs for autonomy were </w:t>
      </w:r>
      <w:proofErr w:type="spellStart"/>
      <w:r w:rsidRPr="000F63C6">
        <w:rPr>
          <w:sz w:val="8"/>
        </w:rPr>
        <w:t>recognised</w:t>
      </w:r>
      <w:proofErr w:type="spellEnd"/>
      <w:r w:rsidRPr="000F63C6">
        <w:rPr>
          <w:sz w:val="8"/>
        </w:rPr>
        <w:t xml:space="preserve"> in law so that the independence and value of </w:t>
      </w:r>
      <w:proofErr w:type="gramStart"/>
      <w:r w:rsidRPr="000F63C6">
        <w:rPr>
          <w:sz w:val="8"/>
        </w:rPr>
        <w:t>each individual</w:t>
      </w:r>
      <w:proofErr w:type="gramEnd"/>
      <w:r w:rsidRPr="000F63C6">
        <w:rPr>
          <w:sz w:val="8"/>
        </w:rPr>
        <w:t xml:space="preserve"> could be </w:t>
      </w:r>
      <w:proofErr w:type="spellStart"/>
      <w:r w:rsidRPr="000F63C6">
        <w:rPr>
          <w:sz w:val="8"/>
        </w:rPr>
        <w:t>recognised</w:t>
      </w:r>
      <w:proofErr w:type="spellEnd"/>
      <w:r w:rsidRPr="000F63C6">
        <w:rPr>
          <w:sz w:val="8"/>
        </w:rPr>
        <w:t xml:space="preserve">. </w:t>
      </w:r>
      <w:proofErr w:type="spellStart"/>
      <w:r w:rsidRPr="000F63C6">
        <w:rPr>
          <w:sz w:val="8"/>
        </w:rPr>
        <w:t>Sinzheimer’s</w:t>
      </w:r>
      <w:proofErr w:type="spellEnd"/>
      <w:r w:rsidRPr="000F63C6">
        <w:rPr>
          <w:sz w:val="8"/>
        </w:rPr>
        <w:t xml:space="preserve"> work has only indirectly influenced British </w:t>
      </w:r>
      <w:proofErr w:type="spellStart"/>
      <w:r w:rsidRPr="000F63C6">
        <w:rPr>
          <w:sz w:val="8"/>
        </w:rPr>
        <w:t>labour</w:t>
      </w:r>
      <w:proofErr w:type="spellEnd"/>
      <w:r w:rsidRPr="000F63C6">
        <w:rPr>
          <w:sz w:val="8"/>
        </w:rPr>
        <w:t xml:space="preserve"> law. His work has suffered from its association with that of Kahn-Freund and his focus on trade unionism. It has therefore not been prominent in the study of modern </w:t>
      </w:r>
      <w:proofErr w:type="spellStart"/>
      <w:r w:rsidRPr="000F63C6">
        <w:rPr>
          <w:sz w:val="8"/>
        </w:rPr>
        <w:t>labour</w:t>
      </w:r>
      <w:proofErr w:type="spellEnd"/>
      <w:r w:rsidRPr="000F63C6">
        <w:rPr>
          <w:sz w:val="8"/>
        </w:rPr>
        <w:t xml:space="preserve"> law theory.81 By contrast, Kant’s work has not been viewed as useful for precisely the opposite reason. It has been viewed as too legalistic and insufficiently connected to the specific concerns of </w:t>
      </w:r>
      <w:proofErr w:type="spellStart"/>
      <w:r w:rsidRPr="000F63C6">
        <w:rPr>
          <w:sz w:val="8"/>
        </w:rPr>
        <w:t>labour</w:t>
      </w:r>
      <w:proofErr w:type="spellEnd"/>
      <w:r w:rsidRPr="000F63C6">
        <w:rPr>
          <w:sz w:val="8"/>
        </w:rPr>
        <w:t xml:space="preserve">, and therefore </w:t>
      </w:r>
      <w:proofErr w:type="spellStart"/>
      <w:r w:rsidRPr="000F63C6">
        <w:rPr>
          <w:sz w:val="8"/>
        </w:rPr>
        <w:t>labour</w:t>
      </w:r>
      <w:proofErr w:type="spellEnd"/>
      <w:r w:rsidRPr="000F63C6">
        <w:rPr>
          <w:sz w:val="8"/>
        </w:rPr>
        <w:t xml:space="preserve"> law. Whilst it is admitted that this may be true of Kant’s pure theory of right, it does not appear to be true in terms of his theory of citizenship. It appears that Kant’s theory of citizenship is useful because it </w:t>
      </w:r>
      <w:proofErr w:type="spellStart"/>
      <w:r w:rsidRPr="000F63C6">
        <w:rPr>
          <w:sz w:val="8"/>
        </w:rPr>
        <w:t>emphasises</w:t>
      </w:r>
      <w:proofErr w:type="spellEnd"/>
      <w:r w:rsidRPr="000F63C6">
        <w:rPr>
          <w:sz w:val="8"/>
        </w:rPr>
        <w:t xml:space="preserve"> that every person must be viewed as autonomous beings for the purposes of law. Autonomy is not restricted to empowerment through the processes of trade unionism. It is also part of the creation and function of (</w:t>
      </w:r>
      <w:proofErr w:type="spellStart"/>
      <w:r w:rsidRPr="000F63C6">
        <w:rPr>
          <w:sz w:val="8"/>
        </w:rPr>
        <w:t>labour</w:t>
      </w:r>
      <w:proofErr w:type="spellEnd"/>
      <w:r w:rsidRPr="000F63C6">
        <w:rPr>
          <w:sz w:val="8"/>
        </w:rPr>
        <w:t xml:space="preserve">) law itself. The role of the state is to step into to ensure that all citizens can be ‘active’ rather than ‘passive’. At the same time, passive citizens must not be blamed for their own position or viewed as irresponsible, </w:t>
      </w:r>
      <w:proofErr w:type="gramStart"/>
      <w:r w:rsidRPr="000F63C6">
        <w:rPr>
          <w:sz w:val="8"/>
        </w:rPr>
        <w:t>vexatious</w:t>
      </w:r>
      <w:proofErr w:type="gramEnd"/>
      <w:r w:rsidRPr="000F63C6">
        <w:rPr>
          <w:sz w:val="8"/>
        </w:rPr>
        <w:t xml:space="preserve"> and so on. Indeed, reliance of persons on the state does not make those persons passive. This passivity is a function of individual dependence on private wills, which do not allow them to pursue their own conception of the good life. This passivity may vary by degree (for example a distinction may be made between a servant and a dependent employee). </w:t>
      </w:r>
      <w:proofErr w:type="gramStart"/>
      <w:r w:rsidRPr="000F63C6">
        <w:rPr>
          <w:sz w:val="8"/>
        </w:rPr>
        <w:t>However</w:t>
      </w:r>
      <w:proofErr w:type="gramEnd"/>
      <w:r w:rsidRPr="000F63C6">
        <w:rPr>
          <w:sz w:val="8"/>
        </w:rPr>
        <w:t xml:space="preserve"> in every case, it is the function of the state and the law to step in to correct that passivity. On Kant’s scheme, the raising of citizens from passive to active states is pervasive. It is a normative condition of law. At each stage of its operation, the law should aim towards creating the conditions for dignity as autonomy, and </w:t>
      </w:r>
      <w:proofErr w:type="gramStart"/>
      <w:r w:rsidRPr="000F63C6">
        <w:rPr>
          <w:sz w:val="8"/>
        </w:rPr>
        <w:t>as a consequence</w:t>
      </w:r>
      <w:proofErr w:type="gramEnd"/>
      <w:r w:rsidRPr="000F63C6">
        <w:rPr>
          <w:sz w:val="8"/>
        </w:rPr>
        <w:t xml:space="preserve">, active citizenship. This may indeed involve </w:t>
      </w:r>
      <w:proofErr w:type="gramStart"/>
      <w:r w:rsidRPr="000F63C6">
        <w:rPr>
          <w:sz w:val="8"/>
        </w:rPr>
        <w:t>redistribution</w:t>
      </w:r>
      <w:proofErr w:type="gramEnd"/>
      <w:r w:rsidRPr="000F63C6">
        <w:rPr>
          <w:sz w:val="8"/>
        </w:rPr>
        <w:t xml:space="preserve"> but that redistribution should always occur with dignity in mind. This has fundamental implications for the design of </w:t>
      </w:r>
      <w:proofErr w:type="spellStart"/>
      <w:r w:rsidRPr="000F63C6">
        <w:rPr>
          <w:sz w:val="8"/>
        </w:rPr>
        <w:t>labour</w:t>
      </w:r>
      <w:proofErr w:type="spellEnd"/>
      <w:r w:rsidRPr="000F63C6">
        <w:rPr>
          <w:sz w:val="8"/>
        </w:rPr>
        <w:t xml:space="preserve"> law generally, and for the specific examples cited in this article. In terms of unfair dismissal, the current law concentrates too heavily on redistribution to the detriment of worker autonomy. The BORR test </w:t>
      </w:r>
      <w:proofErr w:type="spellStart"/>
      <w:r w:rsidRPr="000F63C6">
        <w:rPr>
          <w:sz w:val="8"/>
        </w:rPr>
        <w:t>emphasises</w:t>
      </w:r>
      <w:proofErr w:type="spellEnd"/>
      <w:r w:rsidRPr="000F63C6">
        <w:rPr>
          <w:sz w:val="8"/>
        </w:rPr>
        <w:t xml:space="preserve"> the autonomy of employers over that of workers. This means that the freedom and dignity of workers is compromised by the operation of this law. This in turn means that this kind of law could not be agreed to on the Kantian scheme. Likewise, the introduction Tribunal fees appears to violate the Kantian scheme of law and citizenship. These fees have been justified on the assumption of the irresponsibility and vexatious nature of workers. This assumption would not be compatible with the innate right of all, and it does not function to allow workers a move towards active citizenship. Indeed, by removing the possibility of workers to exercise employment rights through the courts, this new fee structure serves to undermine not only worker dignity but also the validity of that law as a representation of the general will (generally people would not agree to the arbitrary exclusion of individuals from the exercise of their rights). </w:t>
      </w:r>
      <w:r w:rsidRPr="000F63C6">
        <w:rPr>
          <w:rFonts w:cs="Times"/>
          <w:sz w:val="8"/>
        </w:rPr>
        <w:t xml:space="preserve">Conclusion </w:t>
      </w:r>
      <w:r w:rsidRPr="000F63C6">
        <w:rPr>
          <w:sz w:val="8"/>
        </w:rPr>
        <w:t xml:space="preserve">Kant’s work has not been traditionally seen as very useful in the study of </w:t>
      </w:r>
      <w:proofErr w:type="spellStart"/>
      <w:r w:rsidRPr="000F63C6">
        <w:rPr>
          <w:sz w:val="8"/>
        </w:rPr>
        <w:t>labour</w:t>
      </w:r>
      <w:proofErr w:type="spellEnd"/>
      <w:r w:rsidRPr="000F63C6">
        <w:rPr>
          <w:sz w:val="8"/>
        </w:rPr>
        <w:t xml:space="preserve"> law. The focus in the legal literature has been on an analysis of the relevance of Kant’s system of legality involving three stages of right: innate right, private right and public right. This system has been particularly influential in relation to the study of private law, where the three stages have been put forward as a (new) normative foundation. Kant’s influence has therefore seeped down indirectly into the study of </w:t>
      </w:r>
      <w:proofErr w:type="spellStart"/>
      <w:r w:rsidRPr="000F63C6">
        <w:rPr>
          <w:sz w:val="8"/>
        </w:rPr>
        <w:t>labour</w:t>
      </w:r>
      <w:proofErr w:type="spellEnd"/>
      <w:r w:rsidRPr="000F63C6">
        <w:rPr>
          <w:sz w:val="8"/>
        </w:rPr>
        <w:t xml:space="preserve"> law, as </w:t>
      </w:r>
      <w:proofErr w:type="spellStart"/>
      <w:r w:rsidRPr="000F63C6">
        <w:rPr>
          <w:sz w:val="8"/>
        </w:rPr>
        <w:t>labour</w:t>
      </w:r>
      <w:proofErr w:type="spellEnd"/>
      <w:r w:rsidRPr="000F63C6">
        <w:rPr>
          <w:sz w:val="8"/>
        </w:rPr>
        <w:t xml:space="preserve"> law tends to take these private law foundations as a starting point for analysis (even though these starting points may then be </w:t>
      </w:r>
      <w:proofErr w:type="spellStart"/>
      <w:r w:rsidRPr="000F63C6">
        <w:rPr>
          <w:sz w:val="8"/>
        </w:rPr>
        <w:t>criticised</w:t>
      </w:r>
      <w:proofErr w:type="spellEnd"/>
      <w:r w:rsidRPr="000F63C6">
        <w:rPr>
          <w:sz w:val="8"/>
        </w:rPr>
        <w:t xml:space="preserve">). A good example is the doctrine of freedom of contract which is referred to in the adjudication of employment contracts. This freedom of contract doctrine appears to fit will with Kant’s system of right and his corresponding idea of legality. However, there is a limit to the usefulness of these private law doctrines based on the Kantian system of right to the study of </w:t>
      </w:r>
      <w:proofErr w:type="spellStart"/>
      <w:r w:rsidRPr="000F63C6">
        <w:rPr>
          <w:sz w:val="8"/>
        </w:rPr>
        <w:t>labour</w:t>
      </w:r>
      <w:proofErr w:type="spellEnd"/>
      <w:r w:rsidRPr="000F63C6">
        <w:rPr>
          <w:sz w:val="8"/>
        </w:rPr>
        <w:t xml:space="preserve"> law. The foundation of these doctrines lies in the equality of legal subjects, and there is no space for any consideration of need or welfare. By contrast, when it comes to the study of </w:t>
      </w:r>
      <w:proofErr w:type="spellStart"/>
      <w:r w:rsidRPr="000F63C6">
        <w:rPr>
          <w:sz w:val="8"/>
        </w:rPr>
        <w:t>labour</w:t>
      </w:r>
      <w:proofErr w:type="spellEnd"/>
      <w:r w:rsidRPr="000F63C6">
        <w:rPr>
          <w:sz w:val="8"/>
        </w:rPr>
        <w:t xml:space="preserve"> law, the inequality of bargaining power between legal subjects appears paramount and the need or welfare of these subjects is also considered central to law. The influence of these doctrines has therefore been marginal. Furthermore, although a more in- depth reading of the Kantian scheme of right may suggest that some public interest norms can inform the adjudication of private rights, the application of these norms also provides a limited explanation for the function and operation of </w:t>
      </w:r>
      <w:proofErr w:type="spellStart"/>
      <w:r w:rsidRPr="000F63C6">
        <w:rPr>
          <w:sz w:val="8"/>
        </w:rPr>
        <w:t>labour</w:t>
      </w:r>
      <w:proofErr w:type="spellEnd"/>
      <w:r w:rsidRPr="000F63C6">
        <w:rPr>
          <w:sz w:val="8"/>
        </w:rPr>
        <w:t xml:space="preserve"> law. These norms operate only on an ad hoc basis and are vulnerable to inconsistent application and amendment. As a result, </w:t>
      </w:r>
      <w:proofErr w:type="spellStart"/>
      <w:r w:rsidRPr="000F63C6">
        <w:rPr>
          <w:sz w:val="8"/>
        </w:rPr>
        <w:t>labour</w:t>
      </w:r>
      <w:proofErr w:type="spellEnd"/>
      <w:r w:rsidRPr="000F63C6">
        <w:rPr>
          <w:sz w:val="8"/>
        </w:rPr>
        <w:t xml:space="preserve"> law scholars have attempted to design a system of </w:t>
      </w:r>
      <w:proofErr w:type="spellStart"/>
      <w:r w:rsidRPr="000F63C6">
        <w:rPr>
          <w:sz w:val="8"/>
        </w:rPr>
        <w:t>labour</w:t>
      </w:r>
      <w:proofErr w:type="spellEnd"/>
      <w:r w:rsidRPr="000F63C6">
        <w:rPr>
          <w:sz w:val="8"/>
        </w:rPr>
        <w:t xml:space="preserve"> law which does not rely on these private law doctrines. The starting point for this analysis has been the inequality of bargaining power between employers and employee brought about by the operation of the capitalist system. On this analysis, the role of </w:t>
      </w:r>
      <w:proofErr w:type="spellStart"/>
      <w:r w:rsidRPr="000F63C6">
        <w:rPr>
          <w:sz w:val="8"/>
        </w:rPr>
        <w:t>labour</w:t>
      </w:r>
      <w:proofErr w:type="spellEnd"/>
      <w:r w:rsidRPr="000F63C6">
        <w:rPr>
          <w:sz w:val="8"/>
        </w:rPr>
        <w:t xml:space="preserve"> law is to redistribute power (and resources) to the most vulnerable subjects: the employees. This scheme has not been without its problems. Early </w:t>
      </w:r>
      <w:proofErr w:type="spellStart"/>
      <w:r w:rsidRPr="000F63C6">
        <w:rPr>
          <w:sz w:val="8"/>
        </w:rPr>
        <w:t>labour</w:t>
      </w:r>
      <w:proofErr w:type="spellEnd"/>
      <w:r w:rsidRPr="000F63C6">
        <w:rPr>
          <w:sz w:val="8"/>
        </w:rPr>
        <w:t xml:space="preserve"> law theory relied on collective bargaining to provide support to employees (and a level of autonomy in the industrial relations system). By contrast, modern </w:t>
      </w:r>
      <w:proofErr w:type="spellStart"/>
      <w:r w:rsidRPr="000F63C6">
        <w:rPr>
          <w:sz w:val="8"/>
        </w:rPr>
        <w:t>labour</w:t>
      </w:r>
      <w:proofErr w:type="spellEnd"/>
      <w:r w:rsidRPr="000F63C6">
        <w:rPr>
          <w:sz w:val="8"/>
        </w:rPr>
        <w:t xml:space="preserve"> law has been designed around specific legal instruments rather than a system of negotiation between employers and trade j. This has meant that the function of </w:t>
      </w:r>
      <w:proofErr w:type="spellStart"/>
      <w:r w:rsidRPr="000F63C6">
        <w:rPr>
          <w:sz w:val="8"/>
        </w:rPr>
        <w:t>labour</w:t>
      </w:r>
      <w:proofErr w:type="spellEnd"/>
      <w:r w:rsidRPr="000F63C6">
        <w:rPr>
          <w:sz w:val="8"/>
        </w:rPr>
        <w:t xml:space="preserve"> law in promoting autonomy has been neglected in </w:t>
      </w:r>
      <w:proofErr w:type="spellStart"/>
      <w:r w:rsidRPr="000F63C6">
        <w:rPr>
          <w:sz w:val="8"/>
        </w:rPr>
        <w:t>favour</w:t>
      </w:r>
      <w:proofErr w:type="spellEnd"/>
      <w:r w:rsidRPr="000F63C6">
        <w:rPr>
          <w:sz w:val="8"/>
        </w:rPr>
        <w:t xml:space="preserve"> of promoting dignity as redistribution. The corollary has been a system of law which, at times, has provided insufficient respect for the capacity of individual employees for principled action. Indeed, elements of punishment are increasingly seeping into the operation of </w:t>
      </w:r>
      <w:proofErr w:type="spellStart"/>
      <w:r w:rsidRPr="000F63C6">
        <w:rPr>
          <w:sz w:val="8"/>
        </w:rPr>
        <w:t>labour</w:t>
      </w:r>
      <w:proofErr w:type="spellEnd"/>
      <w:r w:rsidRPr="000F63C6">
        <w:rPr>
          <w:sz w:val="8"/>
        </w:rPr>
        <w:t xml:space="preserve"> law (the introduction of Tribunal fees being a good example). It is suggested in this article that </w:t>
      </w:r>
      <w:proofErr w:type="gramStart"/>
      <w:r w:rsidRPr="000F63C6">
        <w:rPr>
          <w:sz w:val="8"/>
        </w:rPr>
        <w:t>in order to</w:t>
      </w:r>
      <w:proofErr w:type="gramEnd"/>
      <w:r w:rsidRPr="000F63C6">
        <w:rPr>
          <w:sz w:val="8"/>
        </w:rPr>
        <w:t xml:space="preserve"> reimbue </w:t>
      </w:r>
      <w:proofErr w:type="spellStart"/>
      <w:r w:rsidRPr="000F63C6">
        <w:rPr>
          <w:sz w:val="8"/>
        </w:rPr>
        <w:t>labour</w:t>
      </w:r>
      <w:proofErr w:type="spellEnd"/>
      <w:r w:rsidRPr="000F63C6">
        <w:rPr>
          <w:sz w:val="8"/>
        </w:rPr>
        <w:t xml:space="preserve"> law with a sense of dignity as autonomy, a new system of </w:t>
      </w:r>
      <w:proofErr w:type="spellStart"/>
      <w:r w:rsidRPr="000F63C6">
        <w:rPr>
          <w:sz w:val="8"/>
        </w:rPr>
        <w:t>theorisation</w:t>
      </w:r>
      <w:proofErr w:type="spellEnd"/>
      <w:r w:rsidRPr="000F63C6">
        <w:rPr>
          <w:sz w:val="8"/>
        </w:rPr>
        <w:t xml:space="preserve"> is required. The starting point for this consideration, it is argued, is Kant’s theory of citizenship. This system starts from the position of an inequality of bargaining power between private individuals (in line with traditional </w:t>
      </w:r>
      <w:proofErr w:type="spellStart"/>
      <w:r w:rsidRPr="000F63C6">
        <w:rPr>
          <w:sz w:val="8"/>
        </w:rPr>
        <w:t>labour</w:t>
      </w:r>
      <w:proofErr w:type="spellEnd"/>
      <w:r w:rsidRPr="000F63C6">
        <w:rPr>
          <w:sz w:val="8"/>
        </w:rPr>
        <w:t xml:space="preserve"> law theory). Kant argues that this inequality of bargaining power can affect an individual’s (employee’s) ability to participate in the functioning of the state (he/she becomes a ‘passive’ citizen). On the Kantian scheme, passive citizenship is not just a problem for the individual but also for the state, as the state relies on the participation of citizens in the making of law. Passive citizens are not able to participate in this way. The state must therefore ensure that conditions are available for the transition from passive to ‘active’ citizenship. This active citizenship ensures the legitimacy of state function and the innate right of all individuals to autonomy. It is argued that this system is a useful starting point for the development of </w:t>
      </w:r>
      <w:proofErr w:type="spellStart"/>
      <w:r w:rsidRPr="000F63C6">
        <w:rPr>
          <w:sz w:val="8"/>
        </w:rPr>
        <w:t>labour</w:t>
      </w:r>
      <w:proofErr w:type="spellEnd"/>
      <w:r w:rsidRPr="000F63C6">
        <w:rPr>
          <w:sz w:val="8"/>
        </w:rPr>
        <w:t xml:space="preserve"> law. As has been mentioned, the Kantian system accords with the argument of the traditional </w:t>
      </w:r>
      <w:proofErr w:type="spellStart"/>
      <w:r w:rsidRPr="000F63C6">
        <w:rPr>
          <w:sz w:val="8"/>
        </w:rPr>
        <w:t>labour</w:t>
      </w:r>
      <w:proofErr w:type="spellEnd"/>
      <w:r w:rsidRPr="000F63C6">
        <w:rPr>
          <w:sz w:val="8"/>
        </w:rPr>
        <w:t xml:space="preserve"> law scholars that employment law must begin from the consideration of an inequality bargaining power between employees and employers. But more than that, it develops (or reaffirms) those arguments by placing those individuals not only at the heart of legal function but also at the heart of state legitimacy. The state and the law are intimately connected on this scheme. Furthermore, </w:t>
      </w:r>
      <w:r w:rsidRPr="00DC47FD">
        <w:rPr>
          <w:rStyle w:val="StyleUnderline"/>
        </w:rPr>
        <w:t>on Kant’s scheme, the state and the law must move beyond mere redistribution from employers to employees</w:t>
      </w:r>
      <w:r w:rsidRPr="000F63C6">
        <w:rPr>
          <w:sz w:val="8"/>
        </w:rPr>
        <w:t>.</w:t>
      </w:r>
      <w:r w:rsidRPr="000F63C6">
        <w:rPr>
          <w:rStyle w:val="StyleUnderline"/>
        </w:rPr>
        <w:t xml:space="preserve"> </w:t>
      </w:r>
      <w:r w:rsidRPr="000F63C6">
        <w:rPr>
          <w:rStyle w:val="StyleUnderline"/>
          <w:highlight w:val="yellow"/>
        </w:rPr>
        <w:t>The state and the law must imbue individuals with the autonomy which reflects their innate right to set their own life goals</w:t>
      </w:r>
      <w:r w:rsidRPr="00DC47FD">
        <w:rPr>
          <w:rStyle w:val="StyleUnderline"/>
        </w:rPr>
        <w:t xml:space="preserve">. </w:t>
      </w:r>
      <w:r w:rsidRPr="000F63C6">
        <w:rPr>
          <w:sz w:val="8"/>
        </w:rPr>
        <w:t>This reinforces the legitimacy of law because all three elements of right act in conjunction</w:t>
      </w:r>
      <w:r w:rsidRPr="00DC47FD">
        <w:rPr>
          <w:rStyle w:val="StyleUnderline"/>
        </w:rPr>
        <w:t xml:space="preserve">. It also reinforces the legitimacy of the state because it ensures that </w:t>
      </w:r>
      <w:r w:rsidRPr="000F63C6">
        <w:rPr>
          <w:rStyle w:val="StyleUnderline"/>
          <w:highlight w:val="yellow"/>
        </w:rPr>
        <w:t>as many individuals as possible contribute to the general will</w:t>
      </w:r>
      <w:r w:rsidRPr="00DC47FD">
        <w:rPr>
          <w:rStyle w:val="StyleUnderline"/>
        </w:rPr>
        <w:t xml:space="preserve">; it ensures that the state functions as a ‘union’ of a ‘multitude of human beings under the laws of right’.82 </w:t>
      </w:r>
    </w:p>
    <w:p w14:paraId="2542BBB1" w14:textId="77777777" w:rsidR="00327BF1" w:rsidRDefault="00327BF1" w:rsidP="00327BF1">
      <w:pPr>
        <w:pStyle w:val="Heading3"/>
      </w:pPr>
      <w:proofErr w:type="spellStart"/>
      <w:r>
        <w:t>Underview</w:t>
      </w:r>
      <w:proofErr w:type="spellEnd"/>
    </w:p>
    <w:p w14:paraId="0C2742A2" w14:textId="77777777" w:rsidR="00327BF1" w:rsidRDefault="00327BF1" w:rsidP="00327BF1">
      <w:pPr>
        <w:pStyle w:val="Analytic"/>
      </w:pPr>
      <w:bookmarkStart w:id="1" w:name="_Hlk83638662"/>
      <w:r>
        <w:t xml:space="preserve">1. 1AR theory is legitimate since the negative could do literally anything without the ability to call out the abuse.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 </w:t>
      </w:r>
    </w:p>
    <w:p w14:paraId="5933EAD9" w14:textId="77777777" w:rsidR="00327BF1" w:rsidRPr="00B55AD5" w:rsidRDefault="00327BF1" w:rsidP="00327BF1">
      <w:pPr>
        <w:pStyle w:val="Analytic"/>
      </w:pPr>
      <w:r>
        <w:t xml:space="preserve">2. No new 2NR theory, paradigm issues, or weighing – A) It allows the 1nc to spend all it’s time reading pure offense and then collapse the debate to one shell and dump 6 minutes of new weighing that is impossible for the 2ar to wade through in 3 minutes B) It’s </w:t>
      </w:r>
      <w:proofErr w:type="spellStart"/>
      <w:r>
        <w:t>irreciprocal</w:t>
      </w:r>
      <w:proofErr w:type="spellEnd"/>
      <w:r>
        <w:t xml:space="preserve"> cause they would get 13 minutes to develop theory arguments without being restrained by the previous speech whereas judges would never vote on 2ar theory </w:t>
      </w:r>
      <w:bookmarkEnd w:id="1"/>
    </w:p>
    <w:p w14:paraId="594902E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64EF" w14:textId="77777777" w:rsidR="00CF246B" w:rsidRDefault="00CF246B" w:rsidP="00327BF1">
      <w:pPr>
        <w:spacing w:after="0" w:line="240" w:lineRule="auto"/>
      </w:pPr>
      <w:r>
        <w:separator/>
      </w:r>
    </w:p>
  </w:endnote>
  <w:endnote w:type="continuationSeparator" w:id="0">
    <w:p w14:paraId="7D4C7BE3" w14:textId="77777777" w:rsidR="00CF246B" w:rsidRDefault="00CF246B" w:rsidP="00327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3A4C" w14:textId="77777777" w:rsidR="00CF246B" w:rsidRDefault="00CF246B" w:rsidP="00327BF1">
      <w:pPr>
        <w:spacing w:after="0" w:line="240" w:lineRule="auto"/>
      </w:pPr>
      <w:r>
        <w:separator/>
      </w:r>
    </w:p>
  </w:footnote>
  <w:footnote w:type="continuationSeparator" w:id="0">
    <w:p w14:paraId="3FDE696E" w14:textId="77777777" w:rsidR="00CF246B" w:rsidRDefault="00CF246B" w:rsidP="00327BF1">
      <w:pPr>
        <w:spacing w:after="0" w:line="240" w:lineRule="auto"/>
      </w:pPr>
      <w:r>
        <w:continuationSeparator/>
      </w:r>
    </w:p>
  </w:footnote>
  <w:footnote w:id="1">
    <w:p w14:paraId="60914EF2" w14:textId="77777777" w:rsidR="00327BF1" w:rsidRPr="00AC23B1" w:rsidRDefault="00327BF1" w:rsidP="00327BF1">
      <w:pPr>
        <w:pStyle w:val="FootnoteText"/>
        <w:rPr>
          <w:sz w:val="26"/>
          <w:szCs w:val="26"/>
        </w:rPr>
      </w:pPr>
      <w:r w:rsidRPr="00AC23B1">
        <w:rPr>
          <w:rStyle w:val="FootnoteReference"/>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42592296592"/>
    <w:docVar w:name="VerbatimVersion" w:val="5.1"/>
  </w:docVars>
  <w:rsids>
    <w:rsidRoot w:val="00327BF1"/>
    <w:rsid w:val="000139A3"/>
    <w:rsid w:val="000D7249"/>
    <w:rsid w:val="00100833"/>
    <w:rsid w:val="00104529"/>
    <w:rsid w:val="00105942"/>
    <w:rsid w:val="00107396"/>
    <w:rsid w:val="00144A4C"/>
    <w:rsid w:val="00153B4B"/>
    <w:rsid w:val="00176AB0"/>
    <w:rsid w:val="00177B7D"/>
    <w:rsid w:val="0018009D"/>
    <w:rsid w:val="0018322D"/>
    <w:rsid w:val="001B5776"/>
    <w:rsid w:val="001E527A"/>
    <w:rsid w:val="001F78CE"/>
    <w:rsid w:val="00251FC7"/>
    <w:rsid w:val="002855A7"/>
    <w:rsid w:val="002B146A"/>
    <w:rsid w:val="002B5E17"/>
    <w:rsid w:val="00315690"/>
    <w:rsid w:val="00316B75"/>
    <w:rsid w:val="00325646"/>
    <w:rsid w:val="00327BF1"/>
    <w:rsid w:val="003460F2"/>
    <w:rsid w:val="0038158C"/>
    <w:rsid w:val="003902BA"/>
    <w:rsid w:val="003A09E2"/>
    <w:rsid w:val="00407037"/>
    <w:rsid w:val="004605D6"/>
    <w:rsid w:val="0047224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8E06EA"/>
    <w:rsid w:val="0091627E"/>
    <w:rsid w:val="0097032B"/>
    <w:rsid w:val="009D2EAD"/>
    <w:rsid w:val="009D54B2"/>
    <w:rsid w:val="009E1922"/>
    <w:rsid w:val="009E7A8B"/>
    <w:rsid w:val="009F7ED2"/>
    <w:rsid w:val="00A36ACF"/>
    <w:rsid w:val="00A93661"/>
    <w:rsid w:val="00A95652"/>
    <w:rsid w:val="00AC0AB8"/>
    <w:rsid w:val="00B33C6D"/>
    <w:rsid w:val="00B4508F"/>
    <w:rsid w:val="00B55AD5"/>
    <w:rsid w:val="00B8057C"/>
    <w:rsid w:val="00BD1FDF"/>
    <w:rsid w:val="00BD6238"/>
    <w:rsid w:val="00BF593B"/>
    <w:rsid w:val="00BF773A"/>
    <w:rsid w:val="00BF7E81"/>
    <w:rsid w:val="00C13773"/>
    <w:rsid w:val="00C17CC8"/>
    <w:rsid w:val="00C83417"/>
    <w:rsid w:val="00C9604F"/>
    <w:rsid w:val="00CA19AA"/>
    <w:rsid w:val="00CC5298"/>
    <w:rsid w:val="00CD736E"/>
    <w:rsid w:val="00CD798D"/>
    <w:rsid w:val="00CE161E"/>
    <w:rsid w:val="00CF246B"/>
    <w:rsid w:val="00CF59A8"/>
    <w:rsid w:val="00D325A9"/>
    <w:rsid w:val="00D36A8A"/>
    <w:rsid w:val="00D61409"/>
    <w:rsid w:val="00D6691E"/>
    <w:rsid w:val="00D71170"/>
    <w:rsid w:val="00DA1C92"/>
    <w:rsid w:val="00DA25D4"/>
    <w:rsid w:val="00DA6538"/>
    <w:rsid w:val="00E15E75"/>
    <w:rsid w:val="00E5262C"/>
    <w:rsid w:val="00EA6132"/>
    <w:rsid w:val="00EC7DC4"/>
    <w:rsid w:val="00ED30CF"/>
    <w:rsid w:val="00F176EF"/>
    <w:rsid w:val="00F45E10"/>
    <w:rsid w:val="00F6364A"/>
    <w:rsid w:val="00F7147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F2FE0"/>
  <w15:chartTrackingRefBased/>
  <w15:docId w15:val="{BBB45C02-2474-4005-954C-6BAC75D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6132"/>
    <w:rPr>
      <w:rFonts w:ascii="Calibri" w:hAnsi="Calibri" w:cs="Calibri"/>
    </w:rPr>
  </w:style>
  <w:style w:type="paragraph" w:styleId="Heading1">
    <w:name w:val="heading 1"/>
    <w:aliases w:val="Pocket"/>
    <w:basedOn w:val="Normal"/>
    <w:next w:val="Normal"/>
    <w:link w:val="Heading1Char"/>
    <w:qFormat/>
    <w:rsid w:val="00EA61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61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61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EA61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61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132"/>
  </w:style>
  <w:style w:type="character" w:customStyle="1" w:styleId="Heading1Char">
    <w:name w:val="Heading 1 Char"/>
    <w:aliases w:val="Pocket Char"/>
    <w:basedOn w:val="DefaultParagraphFont"/>
    <w:link w:val="Heading1"/>
    <w:rsid w:val="00EA61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61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6132"/>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EA61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7"/>
    <w:qFormat/>
    <w:rsid w:val="00EA613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A6132"/>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EA6132"/>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EA6132"/>
    <w:rPr>
      <w:color w:val="auto"/>
      <w:u w:val="none"/>
    </w:rPr>
  </w:style>
  <w:style w:type="character" w:styleId="FollowedHyperlink">
    <w:name w:val="FollowedHyperlink"/>
    <w:basedOn w:val="DefaultParagraphFont"/>
    <w:uiPriority w:val="99"/>
    <w:semiHidden/>
    <w:unhideWhenUsed/>
    <w:rsid w:val="00EA6132"/>
    <w:rPr>
      <w:color w:val="auto"/>
      <w:u w:val="none"/>
    </w:rPr>
  </w:style>
  <w:style w:type="paragraph" w:customStyle="1" w:styleId="textbold">
    <w:name w:val="text bold"/>
    <w:basedOn w:val="Normal"/>
    <w:link w:val="Emphasis"/>
    <w:uiPriority w:val="7"/>
    <w:qFormat/>
    <w:rsid w:val="00327BF1"/>
    <w:pPr>
      <w:ind w:left="720"/>
      <w:jc w:val="both"/>
    </w:pPr>
    <w:rPr>
      <w:b/>
      <w:iCs/>
      <w:sz w:val="26"/>
      <w:u w:val="single"/>
    </w:rPr>
  </w:style>
  <w:style w:type="paragraph" w:customStyle="1" w:styleId="Analytic">
    <w:name w:val="Analytic"/>
    <w:basedOn w:val="Heading4"/>
    <w:link w:val="AnalyticChar"/>
    <w:qFormat/>
    <w:rsid w:val="00327BF1"/>
    <w:rPr>
      <w:color w:val="000000" w:themeColor="text1"/>
    </w:rPr>
  </w:style>
  <w:style w:type="character" w:customStyle="1" w:styleId="AnalyticChar">
    <w:name w:val="Analytic Char"/>
    <w:basedOn w:val="DefaultParagraphFont"/>
    <w:link w:val="Analytic"/>
    <w:rsid w:val="00327BF1"/>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qFormat/>
    <w:rsid w:val="00327BF1"/>
    <w:rPr>
      <w:w w:val="100"/>
      <w:position w:val="-1"/>
      <w:effect w:val="none"/>
      <w:vertAlign w:val="superscript"/>
      <w:cs w:val="0"/>
      <w:em w:val="none"/>
    </w:rPr>
  </w:style>
  <w:style w:type="paragraph" w:styleId="FootnoteText">
    <w:name w:val="footnote text"/>
    <w:basedOn w:val="Normal"/>
    <w:link w:val="FootnoteTextChar"/>
    <w:unhideWhenUsed/>
    <w:qFormat/>
    <w:rsid w:val="00327BF1"/>
    <w:pPr>
      <w:spacing w:line="240" w:lineRule="auto"/>
    </w:pPr>
    <w:rPr>
      <w:sz w:val="20"/>
      <w:szCs w:val="16"/>
    </w:rPr>
  </w:style>
  <w:style w:type="character" w:customStyle="1" w:styleId="FootnoteTextChar">
    <w:name w:val="Footnote Text Char"/>
    <w:basedOn w:val="DefaultParagraphFont"/>
    <w:link w:val="FootnoteText"/>
    <w:rsid w:val="00327BF1"/>
    <w:rPr>
      <w:rFonts w:ascii="Calibri" w:hAnsi="Calibri" w:cs="Calibri"/>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ir-use.org/g-e-moore/principia-ethi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ason.com/archives/2012/05/20/is-there-a-libertarian-case-for-organiz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10" Type="http://schemas.openxmlformats.org/officeDocument/2006/relationships/hyperlink" Target="https://www.qcc.cuny.edu/socialsciences/ppecorino/medical_ethics_text/Chapter_2_Ethical_Traditions/Categorical_Imperative.htm" TargetMode="External"/><Relationship Id="rId4" Type="http://schemas.openxmlformats.org/officeDocument/2006/relationships/settings" Target="settings.xml"/><Relationship Id="rId9" Type="http://schemas.openxmlformats.org/officeDocument/2006/relationships/hyperlink" Target="https://philarchive.org/archive/KATC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7794</Words>
  <Characters>44432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7</cp:revision>
  <dcterms:created xsi:type="dcterms:W3CDTF">2021-10-30T20:09:00Z</dcterms:created>
  <dcterms:modified xsi:type="dcterms:W3CDTF">2021-10-30T21:31:00Z</dcterms:modified>
</cp:coreProperties>
</file>