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0552C" w14:textId="77777777" w:rsidR="00B750C5" w:rsidRDefault="00B750C5" w:rsidP="00B750C5">
      <w:pPr>
        <w:pStyle w:val="Heading2"/>
      </w:pPr>
      <w:r>
        <w:t>1</w:t>
      </w:r>
    </w:p>
    <w:p w14:paraId="39302FFC" w14:textId="77777777" w:rsidR="00B750C5" w:rsidRDefault="00B750C5" w:rsidP="00B750C5">
      <w:pPr>
        <w:pStyle w:val="Heading4"/>
        <w:rPr>
          <w:rFonts w:cs="Times New Roman"/>
        </w:rPr>
      </w:pPr>
      <w:r w:rsidRPr="008816BD">
        <w:rPr>
          <w:rFonts w:cs="Times New Roman"/>
        </w:rPr>
        <w:t xml:space="preserve">The role of the ballot is to endorse the debater who proves the truth or falsity of the resolution – </w:t>
      </w:r>
    </w:p>
    <w:p w14:paraId="08AD9677" w14:textId="77777777" w:rsidR="00B750C5" w:rsidRDefault="00B750C5" w:rsidP="00B750C5">
      <w:pPr>
        <w:pStyle w:val="Heading4"/>
        <w:rPr>
          <w:rFonts w:eastAsia="Times New Roman"/>
          <w:color w:val="000000" w:themeColor="text1"/>
          <w:spacing w:val="3"/>
          <w:shd w:val="clear" w:color="auto" w:fill="FFFFFF"/>
        </w:rPr>
      </w:pPr>
      <w:r>
        <w:rPr>
          <w:rFonts w:cs="Times New Roman"/>
        </w:rPr>
        <w:t xml:space="preserve">A] </w:t>
      </w:r>
      <w:r w:rsidRPr="008816BD">
        <w:t>Text –</w:t>
      </w:r>
      <w:r w:rsidRPr="008816BD">
        <w:rPr>
          <w:rFonts w:eastAsia="Times New Roman"/>
          <w:color w:val="000000" w:themeColor="text1"/>
          <w:spacing w:val="3"/>
          <w:shd w:val="clear" w:color="auto" w:fill="FFFFFF"/>
        </w:rPr>
        <w:t xml:space="preserve">. </w:t>
      </w:r>
    </w:p>
    <w:p w14:paraId="06720FDA" w14:textId="77777777" w:rsidR="00B750C5" w:rsidRDefault="00B750C5" w:rsidP="00B750C5">
      <w:pPr>
        <w:pStyle w:val="Heading4"/>
        <w:rPr>
          <w:rFonts w:eastAsia="Calibri"/>
          <w:bCs w:val="0"/>
          <w:color w:val="000000"/>
        </w:rPr>
      </w:pPr>
      <w:r>
        <w:rPr>
          <w:rFonts w:eastAsia="Times New Roman"/>
          <w:color w:val="000000" w:themeColor="text1"/>
          <w:spacing w:val="3"/>
          <w:shd w:val="clear" w:color="auto" w:fill="FFFFFF"/>
        </w:rPr>
        <w:t xml:space="preserve">B] </w:t>
      </w:r>
      <w:r w:rsidRPr="008816BD">
        <w:rPr>
          <w:rFonts w:eastAsia="Calibri"/>
          <w:color w:val="000000"/>
        </w:rPr>
        <w:t xml:space="preserve">Inclusion: </w:t>
      </w:r>
    </w:p>
    <w:p w14:paraId="60D6CFA5" w14:textId="77777777" w:rsidR="00B750C5" w:rsidRDefault="00B750C5" w:rsidP="00B750C5">
      <w:pPr>
        <w:pStyle w:val="Heading4"/>
        <w:rPr>
          <w:rFonts w:eastAsia="Calibri" w:cs="Times New Roman"/>
          <w:color w:val="000000"/>
        </w:rPr>
      </w:pPr>
      <w:r>
        <w:t xml:space="preserve">C] </w:t>
      </w:r>
      <w:r>
        <w:rPr>
          <w:rFonts w:eastAsia="Calibri" w:cs="Times New Roman"/>
          <w:color w:val="000000"/>
        </w:rPr>
        <w:t xml:space="preserve">Isomorphism: </w:t>
      </w:r>
    </w:p>
    <w:p w14:paraId="2BE8E8A6" w14:textId="77777777" w:rsidR="00B750C5" w:rsidRDefault="00B750C5" w:rsidP="00B750C5">
      <w:pPr>
        <w:pStyle w:val="Heading2"/>
      </w:pPr>
      <w:r>
        <w:t>2</w:t>
      </w:r>
    </w:p>
    <w:p w14:paraId="2131FDE0" w14:textId="77777777" w:rsidR="00B750C5" w:rsidRPr="00486857" w:rsidRDefault="00B750C5" w:rsidP="00B750C5">
      <w:pPr>
        <w:pStyle w:val="Heading4"/>
        <w:rPr>
          <w:rFonts w:cs="Times New Roman"/>
        </w:rPr>
      </w:pPr>
      <w:r w:rsidRPr="00486857">
        <w:rPr>
          <w:rFonts w:cs="Times New Roman"/>
        </w:rPr>
        <w:t>Their scholarship is hateful and a reason to lose the round—their author endorsed pedophilia and actively advocated against the age of consent law.</w:t>
      </w:r>
    </w:p>
    <w:p w14:paraId="15E53E7D" w14:textId="77777777" w:rsidR="00B750C5" w:rsidRPr="00486857" w:rsidRDefault="00B750C5" w:rsidP="00B750C5">
      <w:pPr>
        <w:rPr>
          <w:rStyle w:val="Style13ptBold"/>
          <w:b w:val="0"/>
          <w:sz w:val="20"/>
          <w:szCs w:val="20"/>
        </w:rPr>
      </w:pPr>
      <w:proofErr w:type="spellStart"/>
      <w:r w:rsidRPr="00486857">
        <w:rPr>
          <w:rStyle w:val="Style13ptBold"/>
          <w:szCs w:val="26"/>
          <w:lang w:val="fr-FR"/>
        </w:rPr>
        <w:t>Doezema</w:t>
      </w:r>
      <w:proofErr w:type="spellEnd"/>
      <w:r w:rsidRPr="00486857">
        <w:rPr>
          <w:rStyle w:val="Style13ptBold"/>
          <w:szCs w:val="26"/>
          <w:lang w:val="fr-FR"/>
        </w:rPr>
        <w:t xml:space="preserve"> 18</w:t>
      </w:r>
      <w:r>
        <w:rPr>
          <w:rStyle w:val="Style13ptBold"/>
          <w:szCs w:val="26"/>
          <w:lang w:val="fr-FR"/>
        </w:rPr>
        <w:t>,</w:t>
      </w:r>
      <w:r w:rsidRPr="00486857">
        <w:rPr>
          <w:rStyle w:val="Style13ptBold"/>
          <w:lang w:val="fr-FR"/>
        </w:rPr>
        <w:t xml:space="preserve"> </w:t>
      </w:r>
      <w:r w:rsidRPr="00486857">
        <w:rPr>
          <w:rStyle w:val="Style13ptBold"/>
          <w:sz w:val="20"/>
          <w:szCs w:val="20"/>
          <w:lang w:val="fr-FR"/>
        </w:rPr>
        <w:t xml:space="preserve">[Marie </w:t>
      </w:r>
      <w:proofErr w:type="spellStart"/>
      <w:r w:rsidRPr="00486857">
        <w:rPr>
          <w:rStyle w:val="Style13ptBold"/>
          <w:sz w:val="20"/>
          <w:szCs w:val="20"/>
          <w:lang w:val="fr-FR"/>
        </w:rPr>
        <w:t>Doezema</w:t>
      </w:r>
      <w:proofErr w:type="spellEnd"/>
      <w:r w:rsidRPr="00486857">
        <w:rPr>
          <w:rStyle w:val="Style13ptBold"/>
          <w:sz w:val="20"/>
          <w:szCs w:val="20"/>
          <w:lang w:val="fr-FR"/>
        </w:rPr>
        <w:t xml:space="preserve"> (</w:t>
      </w:r>
      <w:proofErr w:type="spellStart"/>
      <w:r w:rsidRPr="00486857">
        <w:rPr>
          <w:rStyle w:val="Style13ptBold"/>
          <w:sz w:val="20"/>
          <w:szCs w:val="20"/>
          <w:lang w:val="fr-FR"/>
        </w:rPr>
        <w:t>Parisian</w:t>
      </w:r>
      <w:proofErr w:type="spellEnd"/>
      <w:r w:rsidRPr="00486857">
        <w:rPr>
          <w:rStyle w:val="Style13ptBold"/>
          <w:sz w:val="20"/>
          <w:szCs w:val="20"/>
          <w:lang w:val="fr-FR"/>
        </w:rPr>
        <w:t xml:space="preserve"> </w:t>
      </w:r>
      <w:proofErr w:type="spellStart"/>
      <w:r w:rsidRPr="00486857">
        <w:rPr>
          <w:rStyle w:val="Style13ptBold"/>
          <w:sz w:val="20"/>
          <w:szCs w:val="20"/>
          <w:lang w:val="fr-FR"/>
        </w:rPr>
        <w:t>Journalist</w:t>
      </w:r>
      <w:proofErr w:type="spellEnd"/>
      <w:r w:rsidRPr="00486857">
        <w:rPr>
          <w:rStyle w:val="Style13ptBold"/>
          <w:sz w:val="20"/>
          <w:szCs w:val="20"/>
          <w:lang w:val="fr-FR"/>
        </w:rPr>
        <w:t xml:space="preserve">). </w:t>
      </w:r>
      <w:r w:rsidRPr="00486857">
        <w:rPr>
          <w:rStyle w:val="Style13ptBold"/>
          <w:sz w:val="20"/>
          <w:szCs w:val="20"/>
        </w:rPr>
        <w:t>“France, Where Age of Consent Is Up for Debate.” The Atlantic, 10 March 2018. https://www.theatlantic.com/international/archive/2018/03/frances-existential-crisis-over-sexual-harassment-laws/550700/ //WWDH]</w:t>
      </w:r>
    </w:p>
    <w:p w14:paraId="169AF929" w14:textId="77777777" w:rsidR="00B750C5" w:rsidRDefault="00B750C5" w:rsidP="00B750C5">
      <w:pPr>
        <w:rPr>
          <w:sz w:val="16"/>
        </w:rPr>
      </w:pPr>
      <w:r w:rsidRPr="00486857">
        <w:rPr>
          <w:sz w:val="16"/>
        </w:rPr>
        <w:t xml:space="preserve">After May 1968, French intellectuals would challenge the state’s authority to protect minors from sexual abuse. In one prominent example, on January 26, 1977, Le Monde, </w:t>
      </w:r>
      <w:r w:rsidRPr="00FC442D">
        <w:rPr>
          <w:rStyle w:val="Emphasis"/>
          <w:highlight w:val="yellow"/>
        </w:rPr>
        <w:t>a French newspaper, published a petition signed by</w:t>
      </w:r>
      <w:r w:rsidRPr="00FC442D">
        <w:rPr>
          <w:sz w:val="16"/>
          <w:highlight w:val="yellow"/>
        </w:rPr>
        <w:t xml:space="preserve"> </w:t>
      </w:r>
      <w:r w:rsidRPr="00486857">
        <w:rPr>
          <w:sz w:val="16"/>
        </w:rPr>
        <w:t xml:space="preserve">the era’s most </w:t>
      </w:r>
      <w:r w:rsidRPr="00FC442D">
        <w:rPr>
          <w:rStyle w:val="Emphasis"/>
          <w:highlight w:val="yellow"/>
        </w:rPr>
        <w:t xml:space="preserve">prominent intellectuals—including </w:t>
      </w:r>
      <w:r w:rsidRPr="00486857">
        <w:rPr>
          <w:sz w:val="16"/>
        </w:rPr>
        <w:t xml:space="preserve">Jean-Paul </w:t>
      </w:r>
      <w:r w:rsidRPr="00486857">
        <w:rPr>
          <w:rStyle w:val="Emphasis"/>
        </w:rPr>
        <w:t>Sartre</w:t>
      </w:r>
      <w:r w:rsidRPr="00486857">
        <w:rPr>
          <w:sz w:val="16"/>
        </w:rPr>
        <w:t xml:space="preserve">, Simone </w:t>
      </w:r>
      <w:r w:rsidRPr="00486857">
        <w:rPr>
          <w:rStyle w:val="Emphasis"/>
        </w:rPr>
        <w:t>de Beauvoir</w:t>
      </w:r>
      <w:r w:rsidRPr="00486857">
        <w:rPr>
          <w:sz w:val="16"/>
        </w:rPr>
        <w:t xml:space="preserve">, Gilles </w:t>
      </w:r>
      <w:r w:rsidRPr="00FC442D">
        <w:rPr>
          <w:rStyle w:val="Emphasis"/>
          <w:highlight w:val="yellow"/>
        </w:rPr>
        <w:t>Deleuze</w:t>
      </w:r>
      <w:r w:rsidRPr="00486857">
        <w:rPr>
          <w:sz w:val="16"/>
        </w:rPr>
        <w:t xml:space="preserve">, Roland Barthes, Philippe </w:t>
      </w:r>
      <w:proofErr w:type="spellStart"/>
      <w:r w:rsidRPr="00486857">
        <w:rPr>
          <w:sz w:val="16"/>
        </w:rPr>
        <w:t>Sollers</w:t>
      </w:r>
      <w:proofErr w:type="spellEnd"/>
      <w:r w:rsidRPr="00486857">
        <w:rPr>
          <w:sz w:val="16"/>
        </w:rPr>
        <w:t xml:space="preserve">, André </w:t>
      </w:r>
      <w:proofErr w:type="spellStart"/>
      <w:r w:rsidRPr="00486857">
        <w:rPr>
          <w:sz w:val="16"/>
        </w:rPr>
        <w:t>Glucksmann</w:t>
      </w:r>
      <w:proofErr w:type="spellEnd"/>
      <w:r w:rsidRPr="00486857">
        <w:rPr>
          <w:sz w:val="16"/>
        </w:rPr>
        <w:t xml:space="preserve"> and Louis Aragon—</w:t>
      </w:r>
      <w:r w:rsidRPr="00FC442D">
        <w:rPr>
          <w:rStyle w:val="Emphasis"/>
          <w:highlight w:val="yellow"/>
        </w:rPr>
        <w:t>in defense of</w:t>
      </w:r>
      <w:r w:rsidRPr="00FC442D">
        <w:rPr>
          <w:sz w:val="16"/>
          <w:highlight w:val="yellow"/>
        </w:rPr>
        <w:t xml:space="preserve"> </w:t>
      </w:r>
      <w:r w:rsidRPr="00486857">
        <w:rPr>
          <w:sz w:val="16"/>
        </w:rPr>
        <w:t xml:space="preserve">three men on trial for </w:t>
      </w:r>
      <w:r w:rsidRPr="00FC442D">
        <w:rPr>
          <w:rStyle w:val="Emphasis"/>
          <w:highlight w:val="yellow"/>
        </w:rPr>
        <w:t>engaging in sexual acts with minors</w:t>
      </w:r>
      <w:r w:rsidRPr="00486857">
        <w:rPr>
          <w:sz w:val="16"/>
        </w:rPr>
        <w:t xml:space="preserve">. “French law recognizes in 13- and 14-year-olds a capacity for discernment that it can judge and punish,” the petition stated, “But it rejects such a capacity when the child's emotional and sexual life is concerned.” Furthermore, </w:t>
      </w:r>
      <w:r w:rsidRPr="00FC442D">
        <w:rPr>
          <w:rStyle w:val="Emphasis"/>
          <w:highlight w:val="yellow"/>
        </w:rPr>
        <w:t>the signatories argued, children and adolescents have the right to a sexual life</w:t>
      </w:r>
      <w:r w:rsidRPr="00486857">
        <w:rPr>
          <w:sz w:val="16"/>
        </w:rPr>
        <w:t>: “If a 13-year-old girl has the right to take the pill, what is it for?” It’s unclear what impact, if any, the petition had. The defendants were sentenced to five years in prison, but did not serve their full sentences.</w:t>
      </w:r>
    </w:p>
    <w:p w14:paraId="525552C4" w14:textId="77777777" w:rsidR="00B750C5" w:rsidRPr="00486857" w:rsidRDefault="00B750C5" w:rsidP="00B750C5">
      <w:pPr>
        <w:pStyle w:val="Heading4"/>
        <w:rPr>
          <w:rFonts w:cs="Times New Roman"/>
        </w:rPr>
      </w:pPr>
      <w:r w:rsidRPr="00486857">
        <w:rPr>
          <w:rFonts w:cs="Times New Roman"/>
        </w:rPr>
        <w:t>Drop the debater—academic spaces have way too many sympathizers who ignore violence against children, and every act must be challenged in the most unflinching terms because anything else reinforces the epistemic bias in favor of rationalizing disgusting behavior.</w:t>
      </w:r>
    </w:p>
    <w:p w14:paraId="2E54FDE0" w14:textId="77777777" w:rsidR="00B750C5" w:rsidRPr="00486857" w:rsidRDefault="00B750C5" w:rsidP="00B750C5">
      <w:pPr>
        <w:rPr>
          <w:rStyle w:val="Style13ptBold"/>
          <w:b w:val="0"/>
          <w:sz w:val="20"/>
          <w:szCs w:val="20"/>
        </w:rPr>
      </w:pPr>
      <w:r w:rsidRPr="00486857">
        <w:rPr>
          <w:rStyle w:val="Style13ptBold"/>
          <w:szCs w:val="26"/>
        </w:rPr>
        <w:t>Grant 18</w:t>
      </w:r>
      <w:r>
        <w:rPr>
          <w:rStyle w:val="Style13ptBold"/>
          <w:szCs w:val="26"/>
        </w:rPr>
        <w:t>,</w:t>
      </w:r>
      <w:r w:rsidRPr="00486857">
        <w:rPr>
          <w:rStyle w:val="Style13ptBold"/>
        </w:rPr>
        <w:t xml:space="preserve"> </w:t>
      </w:r>
      <w:r w:rsidRPr="00486857">
        <w:rPr>
          <w:rStyle w:val="Style13ptBold"/>
          <w:sz w:val="20"/>
          <w:szCs w:val="20"/>
        </w:rPr>
        <w:t xml:space="preserve">[Alec Grant (Independent Scholar, retired from the </w:t>
      </w:r>
      <w:proofErr w:type="spellStart"/>
      <w:r w:rsidRPr="00486857">
        <w:rPr>
          <w:rStyle w:val="Style13ptBold"/>
          <w:sz w:val="20"/>
          <w:szCs w:val="20"/>
        </w:rPr>
        <w:t>Uiversity</w:t>
      </w:r>
      <w:proofErr w:type="spellEnd"/>
      <w:r w:rsidRPr="00486857">
        <w:rPr>
          <w:rStyle w:val="Style13ptBold"/>
          <w:sz w:val="20"/>
          <w:szCs w:val="20"/>
        </w:rPr>
        <w:t xml:space="preserve"> of Brighton where he was a Reader in Narrative Mental Health). “Sanitizing Academics and Damaged Lives” Mad </w:t>
      </w:r>
      <w:proofErr w:type="gramStart"/>
      <w:r w:rsidRPr="00486857">
        <w:rPr>
          <w:rStyle w:val="Style13ptBold"/>
          <w:sz w:val="20"/>
          <w:szCs w:val="20"/>
        </w:rPr>
        <w:t>In</w:t>
      </w:r>
      <w:proofErr w:type="gramEnd"/>
      <w:r w:rsidRPr="00486857">
        <w:rPr>
          <w:rStyle w:val="Style13ptBold"/>
          <w:sz w:val="20"/>
          <w:szCs w:val="20"/>
        </w:rPr>
        <w:t xml:space="preserve"> The UK, 12 April 2018. https://www.madintheuk.com/2018/12/sanitizing-academics-and-damaged-lives/ //WWDH]</w:t>
      </w:r>
    </w:p>
    <w:p w14:paraId="0D9C3798" w14:textId="77777777" w:rsidR="00B750C5" w:rsidRPr="00CC5525" w:rsidRDefault="00B750C5" w:rsidP="00B750C5">
      <w:pPr>
        <w:rPr>
          <w:bCs/>
          <w:sz w:val="14"/>
          <w:szCs w:val="20"/>
          <w:u w:val="single"/>
        </w:rPr>
      </w:pPr>
      <w:r w:rsidRPr="00FC442D">
        <w:rPr>
          <w:rStyle w:val="Emphasis"/>
          <w:highlight w:val="yellow"/>
        </w:rPr>
        <w:t xml:space="preserve">Academics who sympathize with </w:t>
      </w:r>
      <w:proofErr w:type="spellStart"/>
      <w:r w:rsidRPr="00FC442D">
        <w:rPr>
          <w:rStyle w:val="Emphasis"/>
          <w:highlight w:val="yellow"/>
        </w:rPr>
        <w:t>paedophilia</w:t>
      </w:r>
      <w:proofErr w:type="spellEnd"/>
      <w:r w:rsidRPr="00FC442D">
        <w:rPr>
          <w:rStyle w:val="Emphasis"/>
          <w:highlight w:val="yellow"/>
        </w:rPr>
        <w:t xml:space="preserve"> constitute its </w:t>
      </w:r>
      <w:r w:rsidRPr="00486857">
        <w:rPr>
          <w:rStyle w:val="Emphasis"/>
        </w:rPr>
        <w:t xml:space="preserve">intellectual </w:t>
      </w:r>
      <w:r w:rsidRPr="00FC442D">
        <w:rPr>
          <w:rStyle w:val="Emphasis"/>
          <w:highlight w:val="yellow"/>
        </w:rPr>
        <w:t>public relations arm</w:t>
      </w:r>
      <w:r w:rsidRPr="00486857">
        <w:rPr>
          <w:rStyle w:val="Emphasis"/>
        </w:rPr>
        <w:t xml:space="preserve">. Their role is </w:t>
      </w:r>
      <w:r w:rsidRPr="00FC442D">
        <w:rPr>
          <w:rStyle w:val="Emphasis"/>
          <w:highlight w:val="yellow"/>
        </w:rPr>
        <w:t>to make child-adult sex presentable</w:t>
      </w:r>
      <w:r w:rsidRPr="00486857">
        <w:rPr>
          <w:rStyle w:val="Style13ptBold"/>
          <w:sz w:val="14"/>
          <w:szCs w:val="20"/>
        </w:rPr>
        <w:t xml:space="preserve">, more acceptable to the public, fit for polite society, sugar-coated, glossed with a scholarly veneer, sanitized. Snapshots of </w:t>
      </w:r>
      <w:r w:rsidRPr="00FC442D">
        <w:rPr>
          <w:rStyle w:val="Emphasis"/>
          <w:highlight w:val="yellow"/>
        </w:rPr>
        <w:t>sanitizing</w:t>
      </w:r>
      <w:r w:rsidRPr="00FC442D">
        <w:rPr>
          <w:rStyle w:val="Style13ptBold"/>
          <w:sz w:val="14"/>
          <w:szCs w:val="20"/>
          <w:highlight w:val="yellow"/>
        </w:rPr>
        <w:t xml:space="preserve"> </w:t>
      </w:r>
      <w:r w:rsidRPr="00FC442D">
        <w:rPr>
          <w:rStyle w:val="Emphasis"/>
          <w:highlight w:val="yellow"/>
        </w:rPr>
        <w:t>academic activity</w:t>
      </w:r>
      <w:r w:rsidRPr="00FC442D">
        <w:rPr>
          <w:rStyle w:val="Style13ptBold"/>
          <w:sz w:val="14"/>
          <w:szCs w:val="20"/>
          <w:highlight w:val="yellow"/>
        </w:rPr>
        <w:t xml:space="preserve"> </w:t>
      </w:r>
      <w:r w:rsidRPr="00486857">
        <w:rPr>
          <w:rStyle w:val="Style13ptBold"/>
          <w:sz w:val="14"/>
          <w:szCs w:val="20"/>
        </w:rPr>
        <w:t xml:space="preserve">from the last 40 years show how </w:t>
      </w:r>
      <w:proofErr w:type="gramStart"/>
      <w:r w:rsidRPr="00486857">
        <w:rPr>
          <w:rStyle w:val="Style13ptBold"/>
          <w:sz w:val="14"/>
          <w:szCs w:val="20"/>
        </w:rPr>
        <w:t>this seeps</w:t>
      </w:r>
      <w:proofErr w:type="gramEnd"/>
      <w:r w:rsidRPr="00486857">
        <w:rPr>
          <w:rStyle w:val="Style13ptBold"/>
          <w:sz w:val="14"/>
          <w:szCs w:val="20"/>
        </w:rPr>
        <w:t xml:space="preserve"> into and </w:t>
      </w:r>
      <w:r w:rsidRPr="00FC442D">
        <w:rPr>
          <w:rStyle w:val="Emphasis"/>
          <w:highlight w:val="yellow"/>
        </w:rPr>
        <w:t xml:space="preserve">contaminates public policy, education and practice </w:t>
      </w:r>
      <w:r w:rsidRPr="00486857">
        <w:rPr>
          <w:rStyle w:val="Emphasis"/>
        </w:rPr>
        <w:t>in insidious ways.</w:t>
      </w:r>
      <w:r w:rsidRPr="00486857">
        <w:rPr>
          <w:rStyle w:val="Style13ptBold"/>
          <w:sz w:val="14"/>
          <w:szCs w:val="20"/>
        </w:rPr>
        <w:t xml:space="preserve"> </w:t>
      </w:r>
      <w:r w:rsidRPr="00486857">
        <w:rPr>
          <w:rStyle w:val="Emphasis"/>
        </w:rPr>
        <w:t>This</w:t>
      </w:r>
      <w:r w:rsidRPr="00486857">
        <w:rPr>
          <w:rStyle w:val="Style13ptBold"/>
          <w:sz w:val="14"/>
          <w:szCs w:val="20"/>
        </w:rPr>
        <w:t xml:space="preserve"> </w:t>
      </w:r>
      <w:r w:rsidRPr="00486857">
        <w:rPr>
          <w:rStyle w:val="Emphasis"/>
        </w:rPr>
        <w:t xml:space="preserve">is done </w:t>
      </w:r>
      <w:r w:rsidRPr="00FC442D">
        <w:rPr>
          <w:rStyle w:val="Emphasis"/>
          <w:highlight w:val="yellow"/>
        </w:rPr>
        <w:t xml:space="preserve">via </w:t>
      </w:r>
      <w:r w:rsidRPr="00486857">
        <w:rPr>
          <w:rStyle w:val="Emphasis"/>
        </w:rPr>
        <w:t xml:space="preserve">the workings of </w:t>
      </w:r>
      <w:r w:rsidRPr="00FC442D">
        <w:rPr>
          <w:rStyle w:val="Emphasis"/>
          <w:highlight w:val="yellow"/>
        </w:rPr>
        <w:t>power, privilege</w:t>
      </w:r>
      <w:r w:rsidRPr="00486857">
        <w:rPr>
          <w:rStyle w:val="Emphasis"/>
        </w:rPr>
        <w:t xml:space="preserve">, perverse cronyism, </w:t>
      </w:r>
      <w:r w:rsidRPr="00FC442D">
        <w:rPr>
          <w:rStyle w:val="Emphasis"/>
          <w:highlight w:val="yellow"/>
        </w:rPr>
        <w:t>and</w:t>
      </w:r>
      <w:r w:rsidRPr="00486857">
        <w:rPr>
          <w:rStyle w:val="Style13ptBold"/>
          <w:sz w:val="14"/>
          <w:szCs w:val="20"/>
        </w:rPr>
        <w:t xml:space="preserve">, as Pilgrim (2018) argues, </w:t>
      </w:r>
      <w:r w:rsidRPr="00486857">
        <w:rPr>
          <w:rStyle w:val="Emphasis"/>
        </w:rPr>
        <w:t xml:space="preserve">as a result of widespread </w:t>
      </w:r>
      <w:r w:rsidRPr="00FC442D">
        <w:rPr>
          <w:rStyle w:val="Emphasis"/>
          <w:highlight w:val="yellow"/>
        </w:rPr>
        <w:t xml:space="preserve">moral </w:t>
      </w:r>
      <w:r w:rsidRPr="00486857">
        <w:rPr>
          <w:rStyle w:val="Emphasis"/>
        </w:rPr>
        <w:t xml:space="preserve">stupor and </w:t>
      </w:r>
      <w:r w:rsidRPr="00FC442D">
        <w:rPr>
          <w:rStyle w:val="Emphasis"/>
          <w:highlight w:val="yellow"/>
        </w:rPr>
        <w:t xml:space="preserve">denial. </w:t>
      </w:r>
      <w:r w:rsidRPr="00486857">
        <w:rPr>
          <w:rStyle w:val="Style13ptBold"/>
          <w:sz w:val="14"/>
          <w:szCs w:val="20"/>
        </w:rPr>
        <w:t>It’s astonishing that this happens in the face of the psychological and development features of complex post-trauma which are often a consequence of child sexual abuse. By pathologizing adult survivors, often with the ‘</w:t>
      </w:r>
      <w:proofErr w:type="gramStart"/>
      <w:r w:rsidRPr="00486857">
        <w:rPr>
          <w:rStyle w:val="Style13ptBold"/>
          <w:sz w:val="14"/>
          <w:szCs w:val="20"/>
        </w:rPr>
        <w:t>Borderline Personality Disorder</w:t>
      </w:r>
      <w:proofErr w:type="gramEnd"/>
      <w:r w:rsidRPr="00486857">
        <w:rPr>
          <w:rStyle w:val="Style13ptBold"/>
          <w:sz w:val="14"/>
          <w:szCs w:val="20"/>
        </w:rPr>
        <w:t xml:space="preserve">’ (BPD) tag, mainstream psychiatric business-as-usual plays out its role in suppressing the truth about the consequences of </w:t>
      </w:r>
      <w:proofErr w:type="spellStart"/>
      <w:r w:rsidRPr="00486857">
        <w:rPr>
          <w:rStyle w:val="Style13ptBold"/>
          <w:sz w:val="14"/>
          <w:szCs w:val="20"/>
        </w:rPr>
        <w:t>paedophilia</w:t>
      </w:r>
      <w:proofErr w:type="spellEnd"/>
      <w:r w:rsidRPr="00486857">
        <w:rPr>
          <w:rStyle w:val="Style13ptBold"/>
          <w:sz w:val="14"/>
          <w:szCs w:val="20"/>
        </w:rPr>
        <w:t xml:space="preserve"> among adult survivors. Pilgrim (2018) reminds us that </w:t>
      </w:r>
      <w:r w:rsidRPr="00486857">
        <w:rPr>
          <w:rStyle w:val="Emphasis"/>
        </w:rPr>
        <w:t>care and mutuality are core ethical features of all sexual practices</w:t>
      </w:r>
      <w:r w:rsidRPr="00486857">
        <w:rPr>
          <w:rStyle w:val="Style13ptBold"/>
          <w:sz w:val="14"/>
          <w:szCs w:val="20"/>
        </w:rPr>
        <w:t xml:space="preserve">. As someone who was for many years associated with cognitive therapy, I’m interested in ‘cognitive, or </w:t>
      </w:r>
      <w:r w:rsidRPr="00486857">
        <w:rPr>
          <w:rStyle w:val="Emphasis"/>
        </w:rPr>
        <w:t>thought distortions’</w:t>
      </w:r>
      <w:r w:rsidRPr="00486857">
        <w:rPr>
          <w:rStyle w:val="Style13ptBold"/>
          <w:sz w:val="14"/>
          <w:szCs w:val="20"/>
        </w:rPr>
        <w:t xml:space="preserve">, which </w:t>
      </w:r>
      <w:r w:rsidRPr="00486857">
        <w:rPr>
          <w:rStyle w:val="Emphasis"/>
        </w:rPr>
        <w:t xml:space="preserve">are used by people in </w:t>
      </w:r>
      <w:proofErr w:type="spellStart"/>
      <w:r w:rsidRPr="00486857">
        <w:rPr>
          <w:rStyle w:val="Emphasis"/>
        </w:rPr>
        <w:t>rationalising</w:t>
      </w:r>
      <w:proofErr w:type="spellEnd"/>
      <w:r w:rsidRPr="00486857">
        <w:rPr>
          <w:rStyle w:val="Emphasis"/>
        </w:rPr>
        <w:t xml:space="preserve"> their </w:t>
      </w:r>
      <w:proofErr w:type="spellStart"/>
      <w:r w:rsidRPr="00486857">
        <w:rPr>
          <w:rStyle w:val="Emphasis"/>
        </w:rPr>
        <w:t>behaviour</w:t>
      </w:r>
      <w:proofErr w:type="spellEnd"/>
      <w:r w:rsidRPr="00486857">
        <w:rPr>
          <w:rStyle w:val="Emphasis"/>
        </w:rPr>
        <w:t xml:space="preserve"> in self-serving ways. </w:t>
      </w:r>
      <w:r w:rsidRPr="00FC442D">
        <w:rPr>
          <w:rStyle w:val="Emphasis"/>
          <w:highlight w:val="yellow"/>
        </w:rPr>
        <w:t xml:space="preserve">We know from </w:t>
      </w:r>
      <w:r w:rsidRPr="00486857">
        <w:rPr>
          <w:rStyle w:val="Style13ptBold"/>
          <w:sz w:val="14"/>
          <w:szCs w:val="20"/>
        </w:rPr>
        <w:t xml:space="preserve">Pilgrim and many other writers, </w:t>
      </w:r>
      <w:r w:rsidRPr="00486857">
        <w:rPr>
          <w:rStyle w:val="Emphasis"/>
        </w:rPr>
        <w:t>researchers and practitioners abou</w:t>
      </w:r>
      <w:r w:rsidRPr="00FC442D">
        <w:rPr>
          <w:rStyle w:val="Emphasis"/>
          <w:highlight w:val="yellow"/>
        </w:rPr>
        <w:t xml:space="preserve">t the </w:t>
      </w:r>
      <w:proofErr w:type="spellStart"/>
      <w:r w:rsidRPr="00FC442D">
        <w:rPr>
          <w:rStyle w:val="Emphasis"/>
          <w:highlight w:val="yellow"/>
        </w:rPr>
        <w:t>rationalisations</w:t>
      </w:r>
      <w:proofErr w:type="spellEnd"/>
      <w:r w:rsidRPr="00FC442D">
        <w:rPr>
          <w:rStyle w:val="Emphasis"/>
          <w:highlight w:val="yellow"/>
        </w:rPr>
        <w:t xml:space="preserve"> of perpetrators of child sexual abuse and exploitation.</w:t>
      </w:r>
      <w:r w:rsidRPr="00FC442D">
        <w:rPr>
          <w:rStyle w:val="Style13ptBold"/>
          <w:sz w:val="14"/>
          <w:szCs w:val="20"/>
          <w:highlight w:val="yellow"/>
        </w:rPr>
        <w:t xml:space="preserve"> </w:t>
      </w:r>
      <w:r w:rsidRPr="00486857">
        <w:rPr>
          <w:rStyle w:val="Style13ptBold"/>
          <w:sz w:val="14"/>
          <w:szCs w:val="20"/>
        </w:rPr>
        <w:t xml:space="preserve">They include: Children are not victims but willing participants; They want it; They enjoy it; It’s about friendship; It’s about love; It helps children develop and mature. According to Pilgrim (2018), the ‘heyday’ period of </w:t>
      </w:r>
      <w:r w:rsidRPr="00FC442D">
        <w:rPr>
          <w:rStyle w:val="Emphasis"/>
          <w:highlight w:val="yellow"/>
        </w:rPr>
        <w:t xml:space="preserve">academic </w:t>
      </w:r>
      <w:r w:rsidRPr="00486857">
        <w:rPr>
          <w:rStyle w:val="Emphasis"/>
        </w:rPr>
        <w:t xml:space="preserve">versions of such </w:t>
      </w:r>
      <w:proofErr w:type="spellStart"/>
      <w:r w:rsidRPr="00FC442D">
        <w:rPr>
          <w:rStyle w:val="Emphasis"/>
          <w:highlight w:val="yellow"/>
        </w:rPr>
        <w:t>rationalisations</w:t>
      </w:r>
      <w:proofErr w:type="spellEnd"/>
      <w:r w:rsidRPr="00FC442D">
        <w:rPr>
          <w:rStyle w:val="Style13ptBold"/>
          <w:sz w:val="14"/>
          <w:szCs w:val="20"/>
          <w:highlight w:val="yellow"/>
        </w:rPr>
        <w:t xml:space="preserve"> </w:t>
      </w:r>
      <w:r w:rsidRPr="00486857">
        <w:rPr>
          <w:rStyle w:val="Style13ptBold"/>
          <w:sz w:val="14"/>
          <w:szCs w:val="20"/>
        </w:rPr>
        <w:t xml:space="preserve">was the 1970s. 1977 was the year of an unsuccessful lobby by French intellectuals to defend intergenerational sex. Included among these were the otherwise well-respected philosophers Jean-Paul Sartre, Simone de Beauvoir, </w:t>
      </w:r>
      <w:proofErr w:type="spellStart"/>
      <w:r w:rsidRPr="00486857">
        <w:rPr>
          <w:rStyle w:val="Style13ptBold"/>
          <w:sz w:val="14"/>
          <w:szCs w:val="20"/>
        </w:rPr>
        <w:t>Jaques</w:t>
      </w:r>
      <w:proofErr w:type="spellEnd"/>
      <w:r w:rsidRPr="00486857">
        <w:rPr>
          <w:rStyle w:val="Style13ptBold"/>
          <w:sz w:val="14"/>
          <w:szCs w:val="20"/>
        </w:rPr>
        <w:t xml:space="preserve"> Derrida, Roland Barthes and Michel Foucault. These figures </w:t>
      </w:r>
      <w:r w:rsidRPr="00FC442D">
        <w:rPr>
          <w:rStyle w:val="Emphasis"/>
          <w:highlight w:val="yellow"/>
        </w:rPr>
        <w:t>were</w:t>
      </w:r>
      <w:r w:rsidRPr="00FC442D">
        <w:rPr>
          <w:rStyle w:val="Style13ptBold"/>
          <w:sz w:val="14"/>
          <w:szCs w:val="20"/>
          <w:highlight w:val="yellow"/>
        </w:rPr>
        <w:t xml:space="preserve"> </w:t>
      </w:r>
      <w:r w:rsidRPr="00FC442D">
        <w:rPr>
          <w:rStyle w:val="Emphasis"/>
          <w:highlight w:val="yellow"/>
        </w:rPr>
        <w:t xml:space="preserve">at the forefront </w:t>
      </w:r>
      <w:r w:rsidRPr="00486857">
        <w:rPr>
          <w:rStyle w:val="Emphasis"/>
        </w:rPr>
        <w:t xml:space="preserve">of the use of academic authority </w:t>
      </w:r>
      <w:r w:rsidRPr="00FC442D">
        <w:rPr>
          <w:rStyle w:val="Emphasis"/>
          <w:highlight w:val="yellow"/>
        </w:rPr>
        <w:t xml:space="preserve">to lobby governments to </w:t>
      </w:r>
      <w:proofErr w:type="spellStart"/>
      <w:r w:rsidRPr="00486857">
        <w:rPr>
          <w:rStyle w:val="Emphasis"/>
        </w:rPr>
        <w:t>liberalise</w:t>
      </w:r>
      <w:proofErr w:type="spellEnd"/>
      <w:r w:rsidRPr="00486857">
        <w:rPr>
          <w:rStyle w:val="Emphasis"/>
        </w:rPr>
        <w:t xml:space="preserve"> and </w:t>
      </w:r>
      <w:proofErr w:type="spellStart"/>
      <w:r w:rsidRPr="00FC442D">
        <w:rPr>
          <w:rStyle w:val="Emphasis"/>
          <w:highlight w:val="yellow"/>
        </w:rPr>
        <w:t>decriminalise</w:t>
      </w:r>
      <w:proofErr w:type="spellEnd"/>
      <w:r w:rsidRPr="00FC442D">
        <w:rPr>
          <w:rStyle w:val="Emphasis"/>
          <w:highlight w:val="yellow"/>
        </w:rPr>
        <w:t xml:space="preserve"> adult-child sexual contact. </w:t>
      </w:r>
      <w:r w:rsidRPr="00486857">
        <w:rPr>
          <w:rStyle w:val="Style13ptBold"/>
          <w:sz w:val="14"/>
          <w:szCs w:val="20"/>
        </w:rPr>
        <w:t xml:space="preserve">In 1978, Foucault took part in a France-Culture broadcast with two other gay theorists, </w:t>
      </w:r>
      <w:proofErr w:type="spellStart"/>
      <w:r w:rsidRPr="00486857">
        <w:rPr>
          <w:rStyle w:val="Style13ptBold"/>
          <w:sz w:val="14"/>
          <w:szCs w:val="20"/>
        </w:rPr>
        <w:t>Hocquengham</w:t>
      </w:r>
      <w:proofErr w:type="spellEnd"/>
      <w:r w:rsidRPr="00486857">
        <w:rPr>
          <w:rStyle w:val="Style13ptBold"/>
          <w:sz w:val="14"/>
          <w:szCs w:val="20"/>
        </w:rPr>
        <w:t xml:space="preserve"> and </w:t>
      </w:r>
      <w:proofErr w:type="spellStart"/>
      <w:r w:rsidRPr="00486857">
        <w:rPr>
          <w:rStyle w:val="Style13ptBold"/>
          <w:sz w:val="14"/>
          <w:szCs w:val="20"/>
        </w:rPr>
        <w:t>Danet</w:t>
      </w:r>
      <w:proofErr w:type="spellEnd"/>
      <w:r w:rsidRPr="00486857">
        <w:rPr>
          <w:rStyle w:val="Style13ptBold"/>
          <w:sz w:val="14"/>
          <w:szCs w:val="20"/>
        </w:rPr>
        <w:t xml:space="preserve">, to discuss the legal aspects of sex between adults and children. </w:t>
      </w:r>
      <w:r w:rsidRPr="00486857">
        <w:rPr>
          <w:rStyle w:val="Emphasis"/>
        </w:rPr>
        <w:t>They</w:t>
      </w:r>
      <w:r w:rsidRPr="00486857">
        <w:rPr>
          <w:rStyle w:val="Style13ptBold"/>
          <w:sz w:val="14"/>
          <w:szCs w:val="20"/>
        </w:rPr>
        <w:t xml:space="preserve"> wanted a repeal of the law preventing this because they took the view that in a liberal (they really meant libertarian) society, sexual preferences generally should not be the business of the law. Foucault, </w:t>
      </w:r>
      <w:proofErr w:type="spellStart"/>
      <w:r w:rsidRPr="00486857">
        <w:rPr>
          <w:rStyle w:val="Style13ptBold"/>
          <w:sz w:val="14"/>
          <w:szCs w:val="20"/>
        </w:rPr>
        <w:t>Hocquengham</w:t>
      </w:r>
      <w:proofErr w:type="spellEnd"/>
      <w:r w:rsidRPr="00486857">
        <w:rPr>
          <w:rStyle w:val="Style13ptBold"/>
          <w:sz w:val="14"/>
          <w:szCs w:val="20"/>
        </w:rPr>
        <w:t xml:space="preserve"> and </w:t>
      </w:r>
      <w:proofErr w:type="spellStart"/>
      <w:r w:rsidRPr="00486857">
        <w:rPr>
          <w:rStyle w:val="Style13ptBold"/>
          <w:sz w:val="14"/>
          <w:szCs w:val="20"/>
        </w:rPr>
        <w:t>Danet</w:t>
      </w:r>
      <w:proofErr w:type="spellEnd"/>
      <w:r w:rsidRPr="00486857">
        <w:rPr>
          <w:rStyle w:val="Style13ptBold"/>
          <w:sz w:val="14"/>
          <w:szCs w:val="20"/>
        </w:rPr>
        <w:t xml:space="preserve"> </w:t>
      </w:r>
      <w:r w:rsidRPr="00486857">
        <w:rPr>
          <w:rStyle w:val="Emphasis"/>
        </w:rPr>
        <w:t>made</w:t>
      </w:r>
      <w:r w:rsidRPr="00486857">
        <w:rPr>
          <w:rStyle w:val="Style13ptBold"/>
          <w:sz w:val="14"/>
          <w:szCs w:val="20"/>
        </w:rPr>
        <w:t xml:space="preserve"> </w:t>
      </w:r>
      <w:r w:rsidRPr="00486857">
        <w:rPr>
          <w:rStyle w:val="Emphasis"/>
        </w:rPr>
        <w:t>the</w:t>
      </w:r>
      <w:r w:rsidRPr="00486857">
        <w:rPr>
          <w:rStyle w:val="Style13ptBold"/>
          <w:sz w:val="14"/>
          <w:szCs w:val="20"/>
        </w:rPr>
        <w:t xml:space="preserve"> following </w:t>
      </w:r>
      <w:r w:rsidRPr="00486857">
        <w:rPr>
          <w:rStyle w:val="Emphasis"/>
        </w:rPr>
        <w:t>assertions: that children can, and have the capacity to, consent to such relations without being coerced into doing so; that abuse and post-abuse trauma isn’t real; that the law is part of an oppressive and repressive heteronormative social control discourse which unfairly targets sexual minorities; that children don’t constitute a vulnerable population; that children can and are capable of making the first move in seducing adults (they introduced here the category of ‘the seducing child’); that the laws against sexual relations between children and adults actually function to protect children from their own desires, making them an oppressed and repressed group; that – in the language of the sociologist Stanley Cohen – international public horror about sexual relations between adults and children is a form of moral panic which feeds into constructing the ‘</w:t>
      </w:r>
      <w:proofErr w:type="spellStart"/>
      <w:r w:rsidRPr="00486857">
        <w:rPr>
          <w:rStyle w:val="Emphasis"/>
        </w:rPr>
        <w:t>paedophile</w:t>
      </w:r>
      <w:proofErr w:type="spellEnd"/>
      <w:r w:rsidRPr="00486857">
        <w:rPr>
          <w:rStyle w:val="Emphasis"/>
        </w:rPr>
        <w:t xml:space="preserve">’ as a folk devil, in turn provoking public vigilantism; that sex between adults and children is actually a trivial matter when compared with ‘real crimes’ such as the murder of old ladies; that many members of the judiciary and other authority figures and groups don’t actually believe </w:t>
      </w:r>
      <w:proofErr w:type="spellStart"/>
      <w:r w:rsidRPr="00486857">
        <w:rPr>
          <w:rStyle w:val="Emphasis"/>
        </w:rPr>
        <w:t>paedophilia</w:t>
      </w:r>
      <w:proofErr w:type="spellEnd"/>
      <w:r w:rsidRPr="00486857">
        <w:rPr>
          <w:rStyle w:val="Emphasis"/>
        </w:rPr>
        <w:t xml:space="preserve"> to be a crime; and that consent should be a private contractual matter between the adult and the child. </w:t>
      </w:r>
      <w:r w:rsidRPr="00486857">
        <w:rPr>
          <w:rStyle w:val="Style13ptBold"/>
          <w:sz w:val="14"/>
          <w:szCs w:val="20"/>
        </w:rPr>
        <w:t xml:space="preserve">Fast forward to 1981. </w:t>
      </w:r>
      <w:r w:rsidRPr="00486857">
        <w:rPr>
          <w:rStyle w:val="Emphasis"/>
          <w:sz w:val="14"/>
          <w:szCs w:val="14"/>
        </w:rPr>
        <w:t xml:space="preserve">The </w:t>
      </w:r>
      <w:proofErr w:type="spellStart"/>
      <w:r w:rsidRPr="00486857">
        <w:rPr>
          <w:rStyle w:val="Emphasis"/>
          <w:sz w:val="14"/>
          <w:szCs w:val="14"/>
        </w:rPr>
        <w:t>Paedophile</w:t>
      </w:r>
      <w:proofErr w:type="spellEnd"/>
      <w:r w:rsidRPr="00486857">
        <w:rPr>
          <w:rStyle w:val="Emphasis"/>
          <w:sz w:val="14"/>
          <w:szCs w:val="14"/>
        </w:rPr>
        <w:t xml:space="preserve"> Information</w:t>
      </w:r>
      <w:r w:rsidRPr="00486857">
        <w:rPr>
          <w:rStyle w:val="Style13ptBold"/>
          <w:sz w:val="14"/>
          <w:szCs w:val="14"/>
        </w:rPr>
        <w:t xml:space="preserve"> </w:t>
      </w:r>
      <w:r w:rsidRPr="00486857">
        <w:rPr>
          <w:rStyle w:val="Style13ptBold"/>
          <w:sz w:val="14"/>
          <w:szCs w:val="20"/>
        </w:rPr>
        <w:t xml:space="preserve">Exchange (PIE) has been active for seven years. This </w:t>
      </w:r>
      <w:r w:rsidRPr="00486857">
        <w:rPr>
          <w:rStyle w:val="Emphasis"/>
          <w:sz w:val="14"/>
          <w:szCs w:val="14"/>
        </w:rPr>
        <w:t>was a pro-</w:t>
      </w:r>
      <w:proofErr w:type="spellStart"/>
      <w:r w:rsidRPr="00486857">
        <w:rPr>
          <w:rStyle w:val="Emphasis"/>
          <w:sz w:val="14"/>
          <w:szCs w:val="14"/>
        </w:rPr>
        <w:t>paedophile</w:t>
      </w:r>
      <w:proofErr w:type="spellEnd"/>
      <w:r w:rsidRPr="00486857">
        <w:rPr>
          <w:rStyle w:val="Emphasis"/>
          <w:sz w:val="14"/>
          <w:szCs w:val="14"/>
        </w:rPr>
        <w:t xml:space="preserve"> activist group</w:t>
      </w:r>
      <w:r w:rsidRPr="00486857">
        <w:rPr>
          <w:rStyle w:val="Style13ptBold"/>
          <w:sz w:val="14"/>
          <w:szCs w:val="20"/>
        </w:rPr>
        <w:t xml:space="preserve">, founded in the UK in 1974 and officially disbanded in 1984. The group, an international </w:t>
      </w:r>
      <w:proofErr w:type="spellStart"/>
      <w:r w:rsidRPr="00486857">
        <w:rPr>
          <w:rStyle w:val="Style13ptBold"/>
          <w:sz w:val="14"/>
          <w:szCs w:val="20"/>
        </w:rPr>
        <w:t>organisation</w:t>
      </w:r>
      <w:proofErr w:type="spellEnd"/>
      <w:r w:rsidRPr="00486857">
        <w:rPr>
          <w:rStyle w:val="Style13ptBold"/>
          <w:sz w:val="14"/>
          <w:szCs w:val="20"/>
        </w:rPr>
        <w:t xml:space="preserve"> of people who traded in obscene material, campaigned for the abolition of the age of consent. </w:t>
      </w:r>
      <w:r w:rsidRPr="00486857">
        <w:rPr>
          <w:rStyle w:val="Emphasis"/>
          <w:sz w:val="14"/>
          <w:szCs w:val="14"/>
        </w:rPr>
        <w:t>Dr Brian Taylor</w:t>
      </w:r>
      <w:r w:rsidRPr="00486857">
        <w:rPr>
          <w:rStyle w:val="Style13ptBold"/>
          <w:sz w:val="14"/>
          <w:szCs w:val="20"/>
        </w:rPr>
        <w:t xml:space="preserve">, the research director and member of PIE, and sociology lecturer at the University of Sussex produced the controversial book Perspectives on </w:t>
      </w:r>
      <w:proofErr w:type="spellStart"/>
      <w:r w:rsidRPr="00486857">
        <w:rPr>
          <w:rStyle w:val="Style13ptBold"/>
          <w:sz w:val="14"/>
          <w:szCs w:val="20"/>
        </w:rPr>
        <w:t>Paedophilia</w:t>
      </w:r>
      <w:proofErr w:type="spellEnd"/>
      <w:r w:rsidRPr="00486857">
        <w:rPr>
          <w:rStyle w:val="Style13ptBold"/>
          <w:sz w:val="14"/>
          <w:szCs w:val="20"/>
        </w:rPr>
        <w:t xml:space="preserve">, </w:t>
      </w:r>
      <w:r w:rsidRPr="00486857">
        <w:rPr>
          <w:rStyle w:val="Emphasis"/>
          <w:sz w:val="14"/>
          <w:szCs w:val="14"/>
        </w:rPr>
        <w:t xml:space="preserve">which had the aim of enlightening social workers and youth workers about the benefits of </w:t>
      </w:r>
      <w:proofErr w:type="spellStart"/>
      <w:r w:rsidRPr="00486857">
        <w:rPr>
          <w:rStyle w:val="Emphasis"/>
          <w:sz w:val="14"/>
          <w:szCs w:val="14"/>
        </w:rPr>
        <w:t>paedophilia</w:t>
      </w:r>
      <w:proofErr w:type="spellEnd"/>
      <w:r w:rsidRPr="00486857">
        <w:rPr>
          <w:rStyle w:val="Emphasis"/>
          <w:sz w:val="14"/>
          <w:szCs w:val="14"/>
        </w:rPr>
        <w:t>.</w:t>
      </w:r>
      <w:r w:rsidRPr="00486857">
        <w:rPr>
          <w:rStyle w:val="Style13ptBold"/>
          <w:sz w:val="14"/>
          <w:szCs w:val="20"/>
        </w:rPr>
        <w:t xml:space="preserve"> Taylor, who identified as gay, advocated ‘guilt-free pederasty’ (sexual relations between two males, one of whom is a minor). He argued that people generally are hostile to </w:t>
      </w:r>
      <w:proofErr w:type="spellStart"/>
      <w:r w:rsidRPr="00486857">
        <w:rPr>
          <w:rStyle w:val="Style13ptBold"/>
          <w:sz w:val="14"/>
          <w:szCs w:val="20"/>
        </w:rPr>
        <w:t>paedophilia</w:t>
      </w:r>
      <w:proofErr w:type="spellEnd"/>
      <w:r w:rsidRPr="00486857">
        <w:rPr>
          <w:rStyle w:val="Style13ptBold"/>
          <w:sz w:val="14"/>
          <w:szCs w:val="20"/>
        </w:rPr>
        <w:t xml:space="preserve"> only because they don’t understand it, and </w:t>
      </w:r>
      <w:proofErr w:type="gramStart"/>
      <w:r w:rsidRPr="00486857">
        <w:rPr>
          <w:rStyle w:val="Style13ptBold"/>
          <w:sz w:val="14"/>
          <w:szCs w:val="20"/>
        </w:rPr>
        <w:t>If</w:t>
      </w:r>
      <w:proofErr w:type="gramEnd"/>
      <w:r w:rsidRPr="00486857">
        <w:rPr>
          <w:rStyle w:val="Style13ptBold"/>
          <w:sz w:val="14"/>
          <w:szCs w:val="20"/>
        </w:rPr>
        <w:t xml:space="preserve"> they did wouldn’t be so against it. </w:t>
      </w:r>
      <w:proofErr w:type="gramStart"/>
      <w:r w:rsidRPr="00486857">
        <w:rPr>
          <w:rStyle w:val="Style13ptBold"/>
          <w:sz w:val="14"/>
          <w:szCs w:val="20"/>
        </w:rPr>
        <w:t>So</w:t>
      </w:r>
      <w:proofErr w:type="gramEnd"/>
      <w:r w:rsidRPr="00486857">
        <w:rPr>
          <w:rStyle w:val="Style13ptBold"/>
          <w:sz w:val="14"/>
          <w:szCs w:val="20"/>
        </w:rPr>
        <w:t xml:space="preserve"> it was simply a matter of clearing up prejudice and ignorance.</w:t>
      </w:r>
    </w:p>
    <w:p w14:paraId="4B288598" w14:textId="3D0D850E" w:rsidR="00E42E4C" w:rsidRDefault="00E42E4C" w:rsidP="00F601E6"/>
    <w:p w14:paraId="4AB644D3" w14:textId="4D7B2B38" w:rsidR="00B750C5" w:rsidRDefault="00B750C5" w:rsidP="00F601E6"/>
    <w:p w14:paraId="0935D1A6" w14:textId="7020369D" w:rsidR="00B750C5" w:rsidRDefault="00B750C5" w:rsidP="00B750C5">
      <w:pPr>
        <w:pStyle w:val="Heading2"/>
      </w:pPr>
      <w:r>
        <w:t>3</w:t>
      </w:r>
    </w:p>
    <w:p w14:paraId="24CF8CBF" w14:textId="77777777" w:rsidR="00B750C5" w:rsidRPr="0001565E" w:rsidRDefault="00B750C5" w:rsidP="00B750C5">
      <w:pPr>
        <w:rPr>
          <w:rStyle w:val="Style13ptBold"/>
        </w:rPr>
      </w:pPr>
      <w:r w:rsidRPr="0001565E">
        <w:rPr>
          <w:rStyle w:val="Style13ptBold"/>
        </w:rPr>
        <w:t>Permissibility negates:</w:t>
      </w:r>
    </w:p>
    <w:p w14:paraId="4957330F" w14:textId="77777777" w:rsidR="00B750C5" w:rsidRPr="0001565E" w:rsidRDefault="00B750C5" w:rsidP="00B750C5">
      <w:pPr>
        <w:rPr>
          <w:rStyle w:val="Style13ptBold"/>
        </w:rPr>
      </w:pPr>
      <w:r w:rsidRPr="0001565E">
        <w:rPr>
          <w:rStyle w:val="Style13ptBold"/>
        </w:rPr>
        <w:t xml:space="preserve">[1] Semantics – Ought </w:t>
      </w:r>
      <w:proofErr w:type="gramStart"/>
      <w:r w:rsidRPr="0001565E">
        <w:rPr>
          <w:rStyle w:val="Style13ptBold"/>
        </w:rPr>
        <w:t>is</w:t>
      </w:r>
      <w:proofErr w:type="gramEnd"/>
      <w:r w:rsidRPr="0001565E">
        <w:rPr>
          <w:rStyle w:val="Style13ptBold"/>
        </w:rPr>
        <w:t xml:space="preserve"> defined as expressing obligation</w:t>
      </w:r>
      <w:r w:rsidRPr="0001565E">
        <w:rPr>
          <w:rStyle w:val="Style13ptBold"/>
        </w:rPr>
        <w:footnoteReference w:id="1"/>
      </w:r>
      <w:r w:rsidRPr="0001565E">
        <w:rPr>
          <w:rStyle w:val="Style13ptBold"/>
        </w:rPr>
        <w:t xml:space="preserve"> which means absent a proactive obligation you vote neg since there’s a trichotomy between prohibition, obligation, and permissibility and proving one disproves the other two and </w:t>
      </w:r>
    </w:p>
    <w:p w14:paraId="314E9EB7" w14:textId="77777777" w:rsidR="00B750C5" w:rsidRPr="0001565E" w:rsidRDefault="00B750C5" w:rsidP="00B750C5">
      <w:pPr>
        <w:rPr>
          <w:rStyle w:val="Style13ptBold"/>
        </w:rPr>
      </w:pPr>
      <w:r w:rsidRPr="0001565E">
        <w:rPr>
          <w:rStyle w:val="Style13ptBold"/>
        </w:rPr>
        <w:t xml:space="preserve">[2] Safety – It’s ethically safer to presume the </w:t>
      </w:r>
      <w:proofErr w:type="spellStart"/>
      <w:r w:rsidRPr="0001565E">
        <w:rPr>
          <w:rStyle w:val="Style13ptBold"/>
        </w:rPr>
        <w:t>squo</w:t>
      </w:r>
      <w:proofErr w:type="spellEnd"/>
      <w:r w:rsidRPr="0001565E">
        <w:rPr>
          <w:rStyle w:val="Style13ptBold"/>
        </w:rPr>
        <w:t xml:space="preserve"> since we know what the </w:t>
      </w:r>
      <w:proofErr w:type="spellStart"/>
      <w:r w:rsidRPr="0001565E">
        <w:rPr>
          <w:rStyle w:val="Style13ptBold"/>
        </w:rPr>
        <w:t>squo</w:t>
      </w:r>
      <w:proofErr w:type="spellEnd"/>
      <w:r w:rsidRPr="0001565E">
        <w:rPr>
          <w:rStyle w:val="Style13ptBold"/>
        </w:rPr>
        <w:t xml:space="preserve"> is but we can’t know whether the </w:t>
      </w:r>
      <w:proofErr w:type="spellStart"/>
      <w:r w:rsidRPr="0001565E">
        <w:rPr>
          <w:rStyle w:val="Style13ptBold"/>
        </w:rPr>
        <w:t>aff</w:t>
      </w:r>
      <w:proofErr w:type="spellEnd"/>
      <w:r w:rsidRPr="0001565E">
        <w:rPr>
          <w:rStyle w:val="Style13ptBold"/>
        </w:rPr>
        <w:t xml:space="preserve"> will be good or not if ethics are incoherent.</w:t>
      </w:r>
    </w:p>
    <w:p w14:paraId="302BAB46" w14:textId="77777777" w:rsidR="00B750C5" w:rsidRPr="0001565E" w:rsidRDefault="00B750C5" w:rsidP="00B750C5">
      <w:pPr>
        <w:rPr>
          <w:rStyle w:val="Style13ptBold"/>
        </w:rPr>
      </w:pPr>
      <w:r w:rsidRPr="0001565E">
        <w:rPr>
          <w:rStyle w:val="Style13ptBold"/>
        </w:rPr>
        <w:t>[3] A statement is more likely false because any part can be false. 2 + 3 = 5 can be altered in any way and it would be false – which means permissibility flows neg</w:t>
      </w:r>
    </w:p>
    <w:p w14:paraId="16565946" w14:textId="77777777" w:rsidR="00B750C5" w:rsidRPr="0001565E" w:rsidRDefault="00B750C5" w:rsidP="00B750C5">
      <w:pPr>
        <w:rPr>
          <w:rStyle w:val="Style13ptBold"/>
        </w:rPr>
      </w:pPr>
    </w:p>
    <w:p w14:paraId="09AB98CA" w14:textId="77777777" w:rsidR="00B750C5" w:rsidRPr="0001565E" w:rsidRDefault="00B750C5" w:rsidP="00B750C5">
      <w:pPr>
        <w:rPr>
          <w:rStyle w:val="Style13ptBold"/>
        </w:rPr>
      </w:pPr>
      <w:r w:rsidRPr="0001565E">
        <w:rPr>
          <w:rStyle w:val="Style13ptBold"/>
        </w:rPr>
        <w:t xml:space="preserve">The </w:t>
      </w:r>
      <w:proofErr w:type="spellStart"/>
      <w:r w:rsidRPr="0001565E">
        <w:rPr>
          <w:rStyle w:val="Style13ptBold"/>
        </w:rPr>
        <w:t>aff</w:t>
      </w:r>
      <w:proofErr w:type="spellEnd"/>
      <w:r w:rsidRPr="0001565E">
        <w:rPr>
          <w:rStyle w:val="Style13ptBold"/>
        </w:rPr>
        <w:t xml:space="preserve"> triggers skep:</w:t>
      </w:r>
    </w:p>
    <w:p w14:paraId="1711465E" w14:textId="77777777" w:rsidR="00B750C5" w:rsidRPr="0001565E" w:rsidRDefault="00B750C5" w:rsidP="00B750C5">
      <w:pPr>
        <w:rPr>
          <w:rStyle w:val="Style13ptBold"/>
        </w:rPr>
      </w:pPr>
      <w:r w:rsidRPr="0001565E">
        <w:rPr>
          <w:rStyle w:val="Style13ptBold"/>
        </w:rPr>
        <w:t xml:space="preserve">[1] Universal obligations fail—Deleuze would say that any attempt to impose an obligation unto another person, even if it is an obligation to become, would be an obstacle to their becoming. The idea that there is some universal obligation is antithetical to the </w:t>
      </w:r>
      <w:proofErr w:type="spellStart"/>
      <w:r w:rsidRPr="0001565E">
        <w:rPr>
          <w:rStyle w:val="Style13ptBold"/>
        </w:rPr>
        <w:t>Deleuzian</w:t>
      </w:r>
      <w:proofErr w:type="spellEnd"/>
      <w:r w:rsidRPr="0001565E">
        <w:rPr>
          <w:rStyle w:val="Style13ptBold"/>
        </w:rPr>
        <w:t xml:space="preserve"> project because it is a structure that all people have to abide by, instead of allowing for complete radical becoming. </w:t>
      </w:r>
    </w:p>
    <w:p w14:paraId="0CC5347B" w14:textId="77777777" w:rsidR="00B750C5" w:rsidRPr="0001565E" w:rsidRDefault="00B750C5" w:rsidP="00B750C5">
      <w:pPr>
        <w:rPr>
          <w:rStyle w:val="Style13ptBold"/>
        </w:rPr>
      </w:pPr>
      <w:r w:rsidRPr="0001565E">
        <w:rPr>
          <w:rStyle w:val="Style13ptBold"/>
        </w:rPr>
        <w:t>[2</w:t>
      </w:r>
      <w:proofErr w:type="gramStart"/>
      <w:r w:rsidRPr="0001565E">
        <w:rPr>
          <w:rStyle w:val="Style13ptBold"/>
        </w:rPr>
        <w:t>] .</w:t>
      </w:r>
      <w:proofErr w:type="gramEnd"/>
      <w:r w:rsidRPr="0001565E">
        <w:rPr>
          <w:rStyle w:val="Style13ptBold"/>
        </w:rPr>
        <w:t xml:space="preserve"> It is metaphysically impossible for a subject to contain themselves to a good norm if it is a good thing because the subject is always changing, which means no good action can be binding to agents.</w:t>
      </w:r>
    </w:p>
    <w:p w14:paraId="047B0C3C" w14:textId="77777777" w:rsidR="00B750C5" w:rsidRPr="0001565E" w:rsidRDefault="00B750C5" w:rsidP="00B750C5">
      <w:pPr>
        <w:rPr>
          <w:rStyle w:val="Style13ptBold"/>
        </w:rPr>
      </w:pPr>
      <w:r w:rsidRPr="0001565E">
        <w:rPr>
          <w:rStyle w:val="Style13ptBold"/>
        </w:rPr>
        <w:t xml:space="preserve">[3] Determinism – under their </w:t>
      </w:r>
      <w:proofErr w:type="spellStart"/>
      <w:r w:rsidRPr="0001565E">
        <w:rPr>
          <w:rStyle w:val="Style13ptBold"/>
        </w:rPr>
        <w:t>fwk</w:t>
      </w:r>
      <w:proofErr w:type="spellEnd"/>
      <w:r w:rsidRPr="0001565E">
        <w:rPr>
          <w:rStyle w:val="Style13ptBold"/>
        </w:rPr>
        <w:t xml:space="preserve"> free will doesn’t make sense because it says the outside of the world affects our decisions and if that’s true, we don’t have free will and thus can’t have an obligation. </w:t>
      </w:r>
    </w:p>
    <w:p w14:paraId="7F90FA16" w14:textId="77777777" w:rsidR="00B750C5" w:rsidRPr="0001565E" w:rsidRDefault="00B750C5" w:rsidP="00B750C5">
      <w:pPr>
        <w:rPr>
          <w:rStyle w:val="Style13ptBold"/>
        </w:rPr>
      </w:pPr>
      <w:r w:rsidRPr="0001565E">
        <w:rPr>
          <w:rStyle w:val="Style13ptBold"/>
        </w:rPr>
        <w:t>[4] Epistemic – if the world is constantly in flux, we can’t know anything about it.</w:t>
      </w:r>
    </w:p>
    <w:p w14:paraId="77D72935" w14:textId="77777777" w:rsidR="00B750C5" w:rsidRPr="0001565E" w:rsidRDefault="00B750C5" w:rsidP="00B750C5">
      <w:pPr>
        <w:rPr>
          <w:rStyle w:val="Style13ptBold"/>
        </w:rPr>
      </w:pPr>
      <w:r w:rsidRPr="0001565E">
        <w:rPr>
          <w:rStyle w:val="Style13ptBold"/>
        </w:rPr>
        <w:t>[5] Linguistic – linguistic interpretations are always changing, making it impossible to ever establish a static meaning</w:t>
      </w:r>
    </w:p>
    <w:p w14:paraId="1454C2FA" w14:textId="77777777" w:rsidR="00B750C5" w:rsidRPr="0001565E" w:rsidRDefault="00B750C5" w:rsidP="00B750C5">
      <w:pPr>
        <w:rPr>
          <w:rStyle w:val="Style13ptBold"/>
        </w:rPr>
      </w:pPr>
      <w:r w:rsidRPr="0001565E">
        <w:rPr>
          <w:rStyle w:val="Style13ptBold"/>
        </w:rPr>
        <w:t>[6] Absolute fluidity means you can act upon any desire which means you can never condemn a moral action.</w:t>
      </w:r>
    </w:p>
    <w:p w14:paraId="12C8B9E1" w14:textId="77777777" w:rsidR="00B750C5" w:rsidRPr="0001565E" w:rsidRDefault="00B750C5" w:rsidP="00B750C5">
      <w:pPr>
        <w:rPr>
          <w:rStyle w:val="Style13ptBold"/>
        </w:rPr>
      </w:pPr>
      <w:r w:rsidRPr="0001565E">
        <w:rPr>
          <w:rStyle w:val="Style13ptBold"/>
        </w:rPr>
        <w:t xml:space="preserve">[7] They say that the entire world is made of one substance that is the constant flux and we don’t have any control of it </w:t>
      </w:r>
      <w:proofErr w:type="spellStart"/>
      <w:r w:rsidRPr="0001565E">
        <w:rPr>
          <w:rStyle w:val="Style13ptBold"/>
        </w:rPr>
        <w:t>it</w:t>
      </w:r>
      <w:proofErr w:type="spellEnd"/>
      <w:r w:rsidRPr="0001565E">
        <w:rPr>
          <w:rStyle w:val="Style13ptBold"/>
        </w:rPr>
        <w:t xml:space="preserve"> just naturally changes over time, meaning it’s impossible to grasp any sort of desire or have any active control over any of those problems. </w:t>
      </w:r>
    </w:p>
    <w:p w14:paraId="398FA409" w14:textId="77777777" w:rsidR="00B750C5" w:rsidRDefault="00B750C5" w:rsidP="00B750C5"/>
    <w:p w14:paraId="1EDC065F" w14:textId="46851F92" w:rsidR="00B750C5" w:rsidRPr="00B750C5" w:rsidRDefault="00B750C5" w:rsidP="00B750C5"/>
    <w:sectPr w:rsidR="00B750C5" w:rsidRPr="00B750C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D6BB9" w14:textId="77777777" w:rsidR="002F02E9" w:rsidRDefault="002F02E9" w:rsidP="00B750C5">
      <w:pPr>
        <w:spacing w:after="0" w:line="240" w:lineRule="auto"/>
      </w:pPr>
      <w:r>
        <w:separator/>
      </w:r>
    </w:p>
  </w:endnote>
  <w:endnote w:type="continuationSeparator" w:id="0">
    <w:p w14:paraId="73E2D58A" w14:textId="77777777" w:rsidR="002F02E9" w:rsidRDefault="002F02E9" w:rsidP="00B75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4DC3A" w14:textId="77777777" w:rsidR="002F02E9" w:rsidRDefault="002F02E9" w:rsidP="00B750C5">
      <w:pPr>
        <w:spacing w:after="0" w:line="240" w:lineRule="auto"/>
      </w:pPr>
      <w:r>
        <w:separator/>
      </w:r>
    </w:p>
  </w:footnote>
  <w:footnote w:type="continuationSeparator" w:id="0">
    <w:p w14:paraId="49B02148" w14:textId="77777777" w:rsidR="002F02E9" w:rsidRDefault="002F02E9" w:rsidP="00B750C5">
      <w:pPr>
        <w:spacing w:after="0" w:line="240" w:lineRule="auto"/>
      </w:pPr>
      <w:r>
        <w:continuationSeparator/>
      </w:r>
    </w:p>
  </w:footnote>
  <w:footnote w:id="1">
    <w:p w14:paraId="5694C90E" w14:textId="77777777" w:rsidR="00B750C5" w:rsidRPr="007B1105" w:rsidRDefault="00B750C5" w:rsidP="00B750C5">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24F20B7C" w14:textId="77777777" w:rsidR="00B750C5" w:rsidRDefault="00B750C5" w:rsidP="00B750C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50C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2E9"/>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0C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EC42C"/>
  <w14:defaultImageDpi w14:val="300"/>
  <w15:docId w15:val="{EB3E45F4-4AB1-E641-8BD7-0F0FB552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50C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50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50C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50C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Tags,tags,No Spacing1111,Ta,ta,Card, Ch"/>
    <w:basedOn w:val="Normal"/>
    <w:next w:val="Normal"/>
    <w:link w:val="Heading4Char"/>
    <w:uiPriority w:val="9"/>
    <w:unhideWhenUsed/>
    <w:qFormat/>
    <w:rsid w:val="00B750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50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0C5"/>
  </w:style>
  <w:style w:type="character" w:customStyle="1" w:styleId="Heading1Char">
    <w:name w:val="Heading 1 Char"/>
    <w:aliases w:val="Pocket Char"/>
    <w:basedOn w:val="DefaultParagraphFont"/>
    <w:link w:val="Heading1"/>
    <w:uiPriority w:val="9"/>
    <w:rsid w:val="00B750C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50C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750C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9"/>
    <w:rsid w:val="00B750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50C5"/>
    <w:rPr>
      <w:b/>
      <w:sz w:val="26"/>
      <w:u w:val="none"/>
    </w:rPr>
  </w:style>
  <w:style w:type="character" w:customStyle="1" w:styleId="StyleUnderline">
    <w:name w:val="Style Underline"/>
    <w:aliases w:val="Underline"/>
    <w:basedOn w:val="DefaultParagraphFont"/>
    <w:uiPriority w:val="1"/>
    <w:qFormat/>
    <w:rsid w:val="00B750C5"/>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B750C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50C5"/>
    <w:rPr>
      <w:color w:val="auto"/>
      <w:u w:val="none"/>
    </w:rPr>
  </w:style>
  <w:style w:type="character" w:styleId="Hyperlink">
    <w:name w:val="Hyperlink"/>
    <w:basedOn w:val="DefaultParagraphFont"/>
    <w:uiPriority w:val="99"/>
    <w:semiHidden/>
    <w:unhideWhenUsed/>
    <w:rsid w:val="00B750C5"/>
    <w:rPr>
      <w:color w:val="auto"/>
      <w:u w:val="none"/>
    </w:rPr>
  </w:style>
  <w:style w:type="paragraph" w:styleId="DocumentMap">
    <w:name w:val="Document Map"/>
    <w:basedOn w:val="Normal"/>
    <w:link w:val="DocumentMapChar"/>
    <w:uiPriority w:val="99"/>
    <w:semiHidden/>
    <w:unhideWhenUsed/>
    <w:rsid w:val="00B750C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50C5"/>
    <w:rPr>
      <w:rFonts w:ascii="Lucida Grande" w:hAnsi="Lucida Grande" w:cs="Lucida Grande"/>
    </w:rPr>
  </w:style>
  <w:style w:type="paragraph" w:customStyle="1" w:styleId="textbold">
    <w:name w:val="text bold"/>
    <w:basedOn w:val="Normal"/>
    <w:link w:val="Emphasis"/>
    <w:uiPriority w:val="20"/>
    <w:qFormat/>
    <w:rsid w:val="00B750C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styleId="FootnoteReference">
    <w:name w:val="footnote reference"/>
    <w:aliases w:val="FN Ref,footnote reference,fr,o,FR,(NECG) Footnote Reference"/>
    <w:basedOn w:val="DefaultParagraphFont"/>
    <w:unhideWhenUsed/>
    <w:qFormat/>
    <w:rsid w:val="00B750C5"/>
    <w:rPr>
      <w:vertAlign w:val="superscript"/>
    </w:rPr>
  </w:style>
  <w:style w:type="paragraph" w:styleId="FootnoteText">
    <w:name w:val="footnote text"/>
    <w:basedOn w:val="Normal"/>
    <w:link w:val="FootnoteTextChar"/>
    <w:uiPriority w:val="99"/>
    <w:unhideWhenUsed/>
    <w:qFormat/>
    <w:rsid w:val="00B750C5"/>
    <w:rPr>
      <w:sz w:val="20"/>
      <w:szCs w:val="20"/>
    </w:rPr>
  </w:style>
  <w:style w:type="character" w:customStyle="1" w:styleId="FootnoteTextChar">
    <w:name w:val="Footnote Text Char"/>
    <w:basedOn w:val="DefaultParagraphFont"/>
    <w:link w:val="FootnoteText"/>
    <w:uiPriority w:val="99"/>
    <w:rsid w:val="00B750C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2021-09-26T16:06:00Z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