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E6480" w14:textId="77777777" w:rsidR="00642410" w:rsidRDefault="00642410" w:rsidP="00642410">
      <w:pPr>
        <w:pStyle w:val="Heading2"/>
      </w:pPr>
      <w:r>
        <w:t xml:space="preserve">Framing </w:t>
      </w:r>
    </w:p>
    <w:p w14:paraId="37322558" w14:textId="77777777" w:rsidR="00642410" w:rsidRDefault="00642410" w:rsidP="00642410">
      <w:pPr>
        <w:pStyle w:val="Heading4"/>
      </w:pPr>
      <w:r>
        <w:rPr>
          <w:u w:val="single"/>
        </w:rPr>
        <w:t>Subjectivity is the basis of ethics</w:t>
      </w:r>
      <w:r w:rsidRPr="00E528ED">
        <w:t xml:space="preserve"> – the question of what we should do depends on how we understand the subject </w:t>
      </w:r>
      <w:r>
        <w:t>is</w:t>
      </w:r>
      <w:r w:rsidRPr="00E528ED">
        <w:t>.</w:t>
      </w:r>
      <w:r>
        <w:t xml:space="preserve"> As time progresses, the subject experiences constant fractures in their identity. For example, the loss of a loved one, a memory, job, etc.  These fractures are filled by a new form of identity, like when an amputee get a prosthetic. This implies that: </w:t>
      </w:r>
    </w:p>
    <w:p w14:paraId="19CF6635" w14:textId="77777777" w:rsidR="00642410" w:rsidRPr="00A91D03" w:rsidRDefault="00642410" w:rsidP="00642410"/>
    <w:p w14:paraId="4490AC70" w14:textId="77777777" w:rsidR="00642410" w:rsidRDefault="00642410" w:rsidP="00642410">
      <w:pPr>
        <w:pStyle w:val="Heading4"/>
      </w:pPr>
      <w:r w:rsidRPr="00D976E6">
        <w:rPr>
          <w:u w:val="single"/>
        </w:rPr>
        <w:t>The subject is fundamentally unstable</w:t>
      </w:r>
      <w:r>
        <w:t xml:space="preserve">- </w:t>
      </w:r>
      <w:r w:rsidRPr="00D976E6">
        <w:t xml:space="preserve">being is in flux due to things such as time, I am not the same </w:t>
      </w:r>
      <w:r>
        <w:t>Jordan</w:t>
      </w:r>
      <w:r w:rsidRPr="00D976E6">
        <w:t xml:space="preserve"> that I was 10 years ago, which proves personal evolution. </w:t>
      </w:r>
    </w:p>
    <w:p w14:paraId="7D340C77" w14:textId="77777777" w:rsidR="00642410" w:rsidRPr="006263A2" w:rsidRDefault="00642410" w:rsidP="00642410"/>
    <w:p w14:paraId="50CF31E2" w14:textId="77777777" w:rsidR="00642410" w:rsidRDefault="00642410" w:rsidP="00642410">
      <w:pPr>
        <w:pStyle w:val="Heading4"/>
      </w:pPr>
      <w:r w:rsidRPr="00D976E6">
        <w:rPr>
          <w:u w:val="single"/>
        </w:rPr>
        <w:t>Affect is constitutive</w:t>
      </w:r>
      <w:r w:rsidRPr="00D976E6">
        <w:t>: it is the capacity to experience and to be experienced. I am experiencing my laptop, my opponent, just as much as you are experiencing me. There is no way any person or thing can escape affection.</w:t>
      </w:r>
      <w:r>
        <w:t xml:space="preserve"> When you meet a new person, you have experienced them changing the your subjectivity. IE change in thought process, interest, opinion, and physical characteristics. </w:t>
      </w:r>
    </w:p>
    <w:p w14:paraId="37B9804C" w14:textId="77777777" w:rsidR="00642410" w:rsidRDefault="00642410" w:rsidP="00642410">
      <w:pPr>
        <w:pStyle w:val="Heading4"/>
      </w:pPr>
      <w:r>
        <w:t xml:space="preserve">Additionally- </w:t>
      </w:r>
      <w:r w:rsidRPr="00E528ED">
        <w:t xml:space="preserve">Affect is divided into two groups – Active and </w:t>
      </w:r>
      <w:r>
        <w:t>reactive</w:t>
      </w:r>
      <w:r w:rsidRPr="00E528ED">
        <w:t xml:space="preserve">. Active affect embraces the constitution of difference and fluidity, </w:t>
      </w:r>
      <w:r>
        <w:t>internal desires drive active affect, allowing the subject to embrace their true selves. W</w:t>
      </w:r>
      <w:r w:rsidRPr="00E528ED">
        <w:t xml:space="preserve">hile reactive affect embraces transcendence and stability. </w:t>
      </w:r>
      <w:r>
        <w:t xml:space="preserve">The state uses reactive affect to strike fear into citizens, maintaining the separation between the powerful and powerless repressing desire. </w:t>
      </w:r>
    </w:p>
    <w:p w14:paraId="627BAB3D" w14:textId="77777777" w:rsidR="00642410" w:rsidRPr="006263A2" w:rsidRDefault="00642410" w:rsidP="00642410"/>
    <w:p w14:paraId="3D6535E0" w14:textId="77777777" w:rsidR="00642410" w:rsidRDefault="00642410" w:rsidP="00642410">
      <w:pPr>
        <w:pStyle w:val="Heading4"/>
      </w:pPr>
      <w:r w:rsidRPr="00D976E6">
        <w:rPr>
          <w:u w:val="single"/>
        </w:rPr>
        <w:t>Fluidity determines the subject</w:t>
      </w:r>
      <w:r w:rsidRPr="00D976E6">
        <w:t xml:space="preserve">: because affect and instability ensure that subjects always change, the only intrinsic feature of the subject is that everything remains in flux. </w:t>
      </w:r>
    </w:p>
    <w:p w14:paraId="6ED0AFBC" w14:textId="77777777" w:rsidR="00642410" w:rsidRPr="00291669" w:rsidRDefault="00642410" w:rsidP="00642410">
      <w:pPr>
        <w:pStyle w:val="Heading4"/>
      </w:pPr>
      <w:r>
        <w:rPr>
          <w:color w:val="000000" w:themeColor="text1"/>
        </w:rPr>
        <w:t>Implications</w:t>
      </w:r>
      <w:r w:rsidRPr="00174877">
        <w:rPr>
          <w:color w:val="000000" w:themeColor="text1"/>
        </w:rPr>
        <w:t xml:space="preserve">: (a) </w:t>
      </w:r>
      <w:r w:rsidRPr="00174877">
        <w:t>S</w:t>
      </w:r>
      <w:r w:rsidRPr="00174877">
        <w:rPr>
          <w:color w:val="000000" w:themeColor="text1"/>
        </w:rPr>
        <w:t xml:space="preserve">table subjectivity makes critique impossible since it takes empirical features and treats it as a model, which provides no place for contestation and (b) </w:t>
      </w:r>
      <w:r w:rsidRPr="00174877">
        <w:t xml:space="preserve">every negation is just a reconfiguration of a set of relationships of differences. It doesn’t in truth deny those relations, it just affirms them in a different way. There is a multiplicity of “yes’s” from which we shape a no, which means even if there is no logical conclusion from this, then only affirmation is true.  </w:t>
      </w:r>
    </w:p>
    <w:p w14:paraId="56F2A593" w14:textId="77777777" w:rsidR="00642410" w:rsidRDefault="00642410" w:rsidP="00642410">
      <w:pPr>
        <w:pStyle w:val="Heading4"/>
        <w:rPr>
          <w:rFonts w:cs="Calibri"/>
        </w:rPr>
      </w:pPr>
    </w:p>
    <w:p w14:paraId="35C6CFFF" w14:textId="77777777" w:rsidR="00642410" w:rsidRPr="00A722C3" w:rsidRDefault="00642410" w:rsidP="00642410">
      <w:pPr>
        <w:pStyle w:val="Heading4"/>
        <w:rPr>
          <w:rStyle w:val="Style13ptBold"/>
          <w:rFonts w:cs="Calibri"/>
          <w:b/>
        </w:rPr>
      </w:pPr>
      <w:r w:rsidRPr="00647A04">
        <w:rPr>
          <w:rFonts w:cs="Calibri"/>
        </w:rPr>
        <w:t xml:space="preserve">Ethics must be a constant interrogation of static norms. This creation of new lines of flight redefines current concepts of normativity to that of deterritorialization. </w:t>
      </w:r>
      <w:r w:rsidRPr="00647A04">
        <w:rPr>
          <w:rFonts w:cs="Calibri"/>
          <w:color w:val="000000" w:themeColor="text1"/>
        </w:rPr>
        <w:t xml:space="preserve">Thus, the standard is </w:t>
      </w:r>
      <w:r>
        <w:rPr>
          <w:rFonts w:cs="Calibri"/>
          <w:color w:val="000000" w:themeColor="text1"/>
        </w:rPr>
        <w:t xml:space="preserve">to vote for whoever best embraces </w:t>
      </w:r>
      <w:r>
        <w:rPr>
          <w:rFonts w:cs="Calibri"/>
          <w:color w:val="000000" w:themeColor="text1"/>
          <w:u w:val="single"/>
        </w:rPr>
        <w:t>active affect</w:t>
      </w:r>
      <w:r w:rsidRPr="00647A04">
        <w:rPr>
          <w:rFonts w:cs="Calibri"/>
          <w:color w:val="000000" w:themeColor="text1"/>
        </w:rPr>
        <w:t>.</w:t>
      </w:r>
      <w:r>
        <w:rPr>
          <w:rFonts w:cs="Calibri"/>
          <w:color w:val="000000" w:themeColor="text1"/>
        </w:rPr>
        <w:t xml:space="preserve"> </w:t>
      </w:r>
      <w:r w:rsidRPr="008C697C">
        <w:t>Wallins 14</w:t>
      </w:r>
    </w:p>
    <w:p w14:paraId="27262A14" w14:textId="77777777" w:rsidR="00642410" w:rsidRPr="00E528ED" w:rsidRDefault="00642410" w:rsidP="00642410">
      <w:pPr>
        <w:rPr>
          <w:sz w:val="12"/>
          <w:szCs w:val="12"/>
        </w:rPr>
      </w:pPr>
      <w:r w:rsidRPr="00E528ED">
        <w:rPr>
          <w:sz w:val="12"/>
          <w:szCs w:val="12"/>
        </w:rPr>
        <w:t xml:space="preserve">Wallins, Jason. “Deleuze and Guattari, Politics and Education.” Bloomsbur Publishing, 2014, Pgs. 119-121 </w:t>
      </w:r>
      <w:r>
        <w:rPr>
          <w:sz w:val="12"/>
          <w:szCs w:val="12"/>
        </w:rPr>
        <w:t xml:space="preserve">Scarsdale </w:t>
      </w:r>
      <w:r w:rsidRPr="00E528ED">
        <w:rPr>
          <w:sz w:val="12"/>
          <w:szCs w:val="12"/>
        </w:rPr>
        <w:t>CC</w:t>
      </w:r>
    </w:p>
    <w:p w14:paraId="7E28FCD5" w14:textId="77777777" w:rsidR="00642410" w:rsidRDefault="00642410" w:rsidP="00642410">
      <w:pPr>
        <w:rPr>
          <w:b/>
          <w:u w:val="single"/>
        </w:rPr>
      </w:pPr>
      <w:r w:rsidRPr="00E528ED">
        <w:rPr>
          <w:sz w:val="12"/>
        </w:rPr>
        <w:t xml:space="preserve">As a social machine through which ‘labour power and the socius as a whole is manufactured’, </w:t>
      </w:r>
      <w:r w:rsidRPr="00E528ED">
        <w:rPr>
          <w:b/>
          <w:u w:val="single"/>
        </w:rPr>
        <w:t xml:space="preserve">schooling figures in the production of social territories that already anticipate a certain kind of </w:t>
      </w:r>
      <w:r w:rsidRPr="00B7264E">
        <w:rPr>
          <w:b/>
          <w:u w:val="single"/>
        </w:rPr>
        <w:t>people</w:t>
      </w:r>
      <w:r w:rsidRPr="00B7264E">
        <w:rPr>
          <w:sz w:val="12"/>
        </w:rPr>
        <w:t xml:space="preserve"> (Guattari, 2009, p. 47). </w:t>
      </w:r>
      <w:r w:rsidRPr="00B7264E">
        <w:rPr>
          <w:b/>
          <w:u w:val="single"/>
        </w:rPr>
        <w:t>And what kind of people does</w:t>
      </w:r>
      <w:r w:rsidRPr="00E528ED">
        <w:rPr>
          <w:b/>
          <w:u w:val="single"/>
        </w:rPr>
        <w:t xml:space="preserve"> </w:t>
      </w:r>
      <w:r w:rsidRPr="00B7264E">
        <w:rPr>
          <w:b/>
          <w:u w:val="single"/>
        </w:rPr>
        <w:t>orthodox schooling seek to produce but a ‘molar public’, or, rather, a public regulated in the abstract image of segmentary social categories</w:t>
      </w:r>
      <w:r w:rsidRPr="00B7264E">
        <w:rPr>
          <w:sz w:val="12"/>
        </w:rPr>
        <w:t xml:space="preserve"> (</w:t>
      </w:r>
      <w:r w:rsidRPr="00E528ED">
        <w:rPr>
          <w:sz w:val="12"/>
        </w:rPr>
        <w:t>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E528ED">
        <w:rPr>
          <w:b/>
          <w:u w:val="single"/>
        </w:rPr>
        <w:t>the subject is made to be in conformity with the systems that produces it, such that the subject reproduces the system’</w:t>
      </w:r>
      <w:r w:rsidRPr="00E528ED">
        <w:rPr>
          <w:sz w:val="12"/>
        </w:rPr>
        <w:t xml:space="preserve"> (p. 6). </w:t>
      </w:r>
      <w:r w:rsidRPr="009E65E1">
        <w:rPr>
          <w:b/>
          <w:u w:val="single"/>
        </w:rPr>
        <w:t>Where education has historically functioned</w:t>
      </w:r>
      <w:r w:rsidRPr="00E528ED">
        <w:rPr>
          <w:b/>
          <w:u w:val="single"/>
        </w:rPr>
        <w:t xml:space="preserve"> to regulate institutional life according to such segmentary molar codes, its modes of production have taken as their teleological goal </w:t>
      </w:r>
      <w:r w:rsidRPr="0099755A">
        <w:rPr>
          <w:b/>
          <w:highlight w:val="yellow"/>
          <w:u w:val="single"/>
        </w:rPr>
        <w:t>the production of a ‘majoritarian people</w:t>
      </w:r>
      <w:r w:rsidRPr="00E528ED">
        <w:rPr>
          <w:b/>
          <w:u w:val="single"/>
        </w:rPr>
        <w:t xml:space="preserve">’, or, more accurately, a people </w:t>
      </w:r>
      <w:r w:rsidRPr="0099755A">
        <w:rPr>
          <w:b/>
          <w:highlight w:val="yellow"/>
          <w:u w:val="single"/>
        </w:rPr>
        <w:t>circuited</w:t>
      </w:r>
      <w:r w:rsidRPr="00E528ED">
        <w:rPr>
          <w:b/>
          <w:u w:val="single"/>
        </w:rPr>
        <w:t xml:space="preserve"> to their representational self-similarity </w:t>
      </w:r>
      <w:r w:rsidRPr="0099755A">
        <w:rPr>
          <w:b/>
          <w:highlight w:val="yellow"/>
          <w:u w:val="single"/>
        </w:rPr>
        <w:t>according to State thought</w:t>
      </w:r>
      <w:r w:rsidRPr="00E528ED">
        <w:rPr>
          <w:b/>
          <w:u w:val="single"/>
        </w:rPr>
        <w:t>.</w:t>
      </w:r>
      <w:r w:rsidRPr="00E528ED">
        <w:rPr>
          <w:sz w:val="12"/>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E528ED">
        <w:rPr>
          <w:b/>
          <w:u w:val="single"/>
        </w:rPr>
        <w:t xml:space="preserve">the standardization of education has effectively reduced difference to a matter of difference in degree. That is, in reference to the stratifying power of the planned curriculum, Aoki avers that </w:t>
      </w:r>
      <w:r w:rsidRPr="0099755A">
        <w:rPr>
          <w:b/>
          <w:highlight w:val="yellow"/>
          <w:u w:val="single"/>
        </w:rPr>
        <w:t>difference is</w:t>
      </w:r>
      <w:r w:rsidRPr="00E528ED">
        <w:rPr>
          <w:b/>
          <w:u w:val="single"/>
        </w:rPr>
        <w:t xml:space="preserve"> always-already </w:t>
      </w:r>
      <w:r w:rsidRPr="0099755A">
        <w:rPr>
          <w:b/>
          <w:highlight w:val="yellow"/>
          <w:u w:val="single"/>
        </w:rPr>
        <w:t>linked to an abstract image to which pedagogy ought to aspire and in conformity</w:t>
      </w:r>
      <w:r w:rsidRPr="00E528ED">
        <w:rPr>
          <w:b/>
          <w:u w:val="single"/>
        </w:rPr>
        <w:t xml:space="preserve"> to which its operations </w:t>
      </w:r>
      <w:r w:rsidRPr="0099755A">
        <w:rPr>
          <w:b/>
          <w:highlight w:val="yellow"/>
          <w:u w:val="single"/>
        </w:rPr>
        <w:t>become recognizable</w:t>
      </w:r>
      <w:r w:rsidRPr="00E528ED">
        <w:rPr>
          <w:b/>
          <w:u w:val="single"/>
        </w:rPr>
        <w:t xml:space="preserve"> as ‘education’ per se. Against political action then, orthodox educational thought conceptualizes social life alongside the ‘categories of the Negative’, eschewing difference for conformity, flows for unities, mobile arrangements for totalizing systems</w:t>
      </w:r>
      <w:r w:rsidRPr="00E528ED">
        <w:rPr>
          <w:sz w:val="12"/>
        </w:rPr>
        <w:t xml:space="preserve"> (Foucault, 1983, p. xiii). Twisting Deleuze, might we claim that the people are missing in education? That is, where education aspires to invest desire in the production of a ‘majoritarian’ or ‘molar’ public, the prospect of thinking singularities are stayed, not only through the paucity of enunciatory forms and images available for thinking education in the first place, but further, through the organization of the school’s enunciatory machines into vehicles of representation that repeat in molarizing forms of self-reflection, ‘majoritarian’ perspective, and dominant circuits of desiring-investment. Herein, </w:t>
      </w:r>
      <w:r w:rsidRPr="0099755A">
        <w:rPr>
          <w:b/>
          <w:highlight w:val="yellow"/>
          <w:u w:val="single"/>
        </w:rPr>
        <w:t>the impulse of standardization obliterates alternative subject formations</w:t>
      </w:r>
      <w:r w:rsidRPr="00E528ED">
        <w:rPr>
          <w:b/>
          <w:u w:val="single"/>
        </w:rPr>
        <w:t xml:space="preserve"> and the modes of counter-signifying enunciation that might palpate them. Repelling the singular, the ‘majoritarian’ and standardizing impulse of education takes as its ‘fundamental’ mode of production the reification of common sense, or, rather, the territorialization of thought according to that which is given</w:t>
      </w:r>
      <w:r w:rsidRPr="00E528ED">
        <w:rPr>
          <w:sz w:val="12"/>
        </w:rPr>
        <w:t xml:space="preserve"> (that which everyone already knows). </w:t>
      </w:r>
      <w:r w:rsidRPr="00E528ED">
        <w:rPr>
          <w:b/>
          <w:u w:val="single"/>
        </w:rPr>
        <w:t>Figuring in a mode ‘of identification that brings diversity in general to bear upon the form of the Same’, common sense functions to stabilize patterns of social production by tethering them to molar orders of meaning and dominant regimes of social signification</w:t>
      </w:r>
      <w:r w:rsidRPr="00E528ED">
        <w:rPr>
          <w:sz w:val="12"/>
        </w:rPr>
        <w:t xml:space="preserve">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 where the conceptualization of ‘public’ education is founded in common sense, </w:t>
      </w:r>
      <w:r w:rsidRPr="0099755A">
        <w:rPr>
          <w:b/>
          <w:highlight w:val="yellow"/>
          <w:u w:val="single"/>
        </w:rPr>
        <w:t>potentials for political action through tactics of proliferation</w:t>
      </w:r>
      <w:r w:rsidRPr="00E528ED">
        <w:rPr>
          <w:b/>
          <w:u w:val="single"/>
        </w:rPr>
        <w:t xml:space="preserve">, disjunction, and singularization </w:t>
      </w:r>
      <w:r w:rsidRPr="0099755A">
        <w:rPr>
          <w:b/>
          <w:highlight w:val="yellow"/>
          <w:u w:val="single"/>
        </w:rPr>
        <w:t>are radically delimited and captured</w:t>
      </w:r>
      <w:r w:rsidRPr="00E528ED">
        <w:rPr>
          <w:b/>
          <w:u w:val="single"/>
        </w:rPr>
        <w:t xml:space="preserve"> within prior territorialities of use</w:t>
      </w:r>
      <w:r w:rsidRPr="00E528ED">
        <w:rPr>
          <w:sz w:val="12"/>
        </w:rPr>
        <w:t xml:space="preserve"> (Foucault, 1983, p. xiii). The problem of this scenario is clear: </w:t>
      </w:r>
      <w:r w:rsidRPr="00E528ED">
        <w:rPr>
          <w:b/>
          <w:u w:val="single"/>
        </w:rPr>
        <w:t>common sense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fails to produce conditions for thinking in a manner that is not already anticipated by such referential ‘possibilities’.</w:t>
      </w:r>
      <w:r w:rsidRPr="00E528ED">
        <w:rPr>
          <w:sz w:val="12"/>
        </w:rPr>
        <w:t xml:space="preserve"> Hence, while antithetical to the espoused purpose of schooling, </w:t>
      </w:r>
      <w:r w:rsidRPr="0099755A">
        <w:rPr>
          <w:b/>
          <w:highlight w:val="yellow"/>
          <w:u w:val="single"/>
        </w:rPr>
        <w:t>the majoritarian impulse of the school has yet to produce conditions for thinking</w:t>
      </w:r>
      <w:r w:rsidRPr="00E528ED">
        <w:rPr>
          <w:b/>
          <w:u w:val="single"/>
        </w:rPr>
        <w:t xml:space="preserve"> – at least in the Deleuzian (2000) sense whereupon thought proceeds from a necessary violence to those habits of repetition with which thought becomes contracted.</w:t>
      </w:r>
    </w:p>
    <w:p w14:paraId="057860BB" w14:textId="77777777" w:rsidR="00642410" w:rsidRDefault="00642410" w:rsidP="00642410">
      <w:pPr>
        <w:rPr>
          <w:b/>
          <w:u w:val="single"/>
        </w:rPr>
      </w:pPr>
    </w:p>
    <w:p w14:paraId="7623A864" w14:textId="77777777" w:rsidR="00642410" w:rsidRDefault="00642410" w:rsidP="00642410">
      <w:pPr>
        <w:spacing w:before="240" w:after="40" w:line="240" w:lineRule="auto"/>
        <w:outlineLvl w:val="3"/>
        <w:rPr>
          <w:rFonts w:eastAsia="Times New Roman" w:cs="Times New Roman"/>
          <w:b/>
          <w:bCs/>
          <w:color w:val="000000"/>
          <w:sz w:val="26"/>
          <w:szCs w:val="26"/>
        </w:rPr>
      </w:pPr>
      <w:r w:rsidRPr="00174877">
        <w:rPr>
          <w:rFonts w:eastAsia="Times New Roman" w:cs="Times New Roman"/>
          <w:b/>
          <w:bCs/>
          <w:color w:val="000000"/>
          <w:sz w:val="26"/>
          <w:szCs w:val="26"/>
        </w:rPr>
        <w:t xml:space="preserve">Prefer the standard additionally – </w:t>
      </w:r>
    </w:p>
    <w:p w14:paraId="510008F3" w14:textId="77777777" w:rsidR="00642410" w:rsidRPr="001F5B06" w:rsidRDefault="00642410" w:rsidP="00642410">
      <w:pPr>
        <w:spacing w:before="240" w:after="40" w:line="240" w:lineRule="auto"/>
        <w:outlineLvl w:val="3"/>
        <w:rPr>
          <w:rFonts w:eastAsia="Times New Roman" w:cs="Times New Roman"/>
          <w:b/>
          <w:bCs/>
          <w:sz w:val="26"/>
          <w:szCs w:val="26"/>
        </w:rPr>
      </w:pPr>
      <w:r>
        <w:rPr>
          <w:rFonts w:eastAsia="Times New Roman" w:cs="Times New Roman"/>
          <w:b/>
          <w:bCs/>
          <w:color w:val="000000"/>
          <w:sz w:val="26"/>
          <w:szCs w:val="26"/>
        </w:rPr>
        <w:t>1.G</w:t>
      </w:r>
      <w:r w:rsidRPr="001F5B06">
        <w:rPr>
          <w:rFonts w:eastAsia="Times New Roman" w:cs="Times New Roman"/>
          <w:b/>
          <w:bCs/>
          <w:color w:val="000000"/>
          <w:sz w:val="26"/>
          <w:szCs w:val="26"/>
        </w:rPr>
        <w:t>eneral understandings of the relation between norms, subjects, and the world are insufficient for ethics because there is a gap between discursive regimes and real subjectivity. Only structures of affect distinguish the subject from static concepts of it – it’s cruelly optimistic to think we can fit into stable structures.</w:t>
      </w:r>
    </w:p>
    <w:p w14:paraId="09643F9A" w14:textId="77777777" w:rsidR="00642410" w:rsidRPr="00174877" w:rsidRDefault="00642410" w:rsidP="00642410">
      <w:pPr>
        <w:spacing w:line="240" w:lineRule="auto"/>
        <w:rPr>
          <w:rFonts w:cs="Times New Roman"/>
          <w:sz w:val="24"/>
        </w:rPr>
      </w:pPr>
      <w:r w:rsidRPr="00174877">
        <w:rPr>
          <w:rFonts w:cs="Times New Roman"/>
          <w:b/>
          <w:color w:val="000000"/>
          <w:sz w:val="26"/>
          <w:szCs w:val="26"/>
        </w:rPr>
        <w:t>Schaefer 13</w:t>
      </w:r>
      <w:r w:rsidRPr="00174877">
        <w:rPr>
          <w:rFonts w:cs="Times New Roman"/>
          <w:color w:val="000000"/>
          <w:sz w:val="26"/>
          <w:szCs w:val="26"/>
        </w:rPr>
        <w:t xml:space="preserve"> </w:t>
      </w:r>
      <w:r w:rsidRPr="00174877">
        <w:rPr>
          <w:rFonts w:cs="Times New Roman"/>
          <w:color w:val="000000"/>
          <w:sz w:val="16"/>
          <w:szCs w:val="16"/>
        </w:rPr>
        <w:t>[Schaefer ’13. Schaefer, D. "The Promise of Affect: The Politics of the Event in Ahmed's The Promise of Happiness and Berlant's Cruel Optimism." Theory &amp; Event 16.2 (2013). Project MUSE. Web. LHP MK]</w:t>
      </w:r>
    </w:p>
    <w:p w14:paraId="65E8AAF2" w14:textId="77777777" w:rsidR="00642410" w:rsidRPr="00E528ED" w:rsidRDefault="00642410" w:rsidP="00642410">
      <w:pPr>
        <w:rPr>
          <w:b/>
          <w:u w:val="single"/>
        </w:rPr>
      </w:pPr>
      <w:r w:rsidRPr="00174877">
        <w:rPr>
          <w:rFonts w:cs="Times New Roman"/>
          <w:color w:val="000000"/>
          <w:sz w:val="12"/>
          <w:szCs w:val="12"/>
        </w:rPr>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174877">
        <w:rPr>
          <w:rFonts w:cs="Times New Roman"/>
          <w:color w:val="000000"/>
          <w:u w:val="single"/>
          <w:shd w:val="clear" w:color="auto" w:fill="FFFF00"/>
        </w:rPr>
        <w:t>Texts are produced by bodies</w:t>
      </w:r>
      <w:r w:rsidRPr="00174877">
        <w:rPr>
          <w:rFonts w:cs="Times New Roman"/>
          <w:color w:val="000000"/>
          <w:u w:val="single"/>
        </w:rPr>
        <w:t xml:space="preserve"> that are both </w:t>
      </w:r>
      <w:r w:rsidRPr="00174877">
        <w:rPr>
          <w:rFonts w:cs="Times New Roman"/>
          <w:color w:val="000000"/>
          <w:u w:val="single"/>
          <w:shd w:val="clear" w:color="auto" w:fill="FFFF00"/>
        </w:rPr>
        <w:t xml:space="preserve">enmeshed in their political worlds and trying to negotiate those worlds in their own </w:t>
      </w:r>
      <w:r w:rsidRPr="00174877">
        <w:rPr>
          <w:rFonts w:cs="Times New Roman"/>
          <w:color w:val="000000"/>
          <w:u w:val="single"/>
        </w:rPr>
        <w:t xml:space="preserve">distinct </w:t>
      </w:r>
      <w:r w:rsidRPr="00174877">
        <w:rPr>
          <w:rFonts w:cs="Times New Roman"/>
          <w:color w:val="000000"/>
          <w:u w:val="single"/>
          <w:shd w:val="clear" w:color="auto" w:fill="FFFF00"/>
        </w:rPr>
        <w:t>way.</w:t>
      </w:r>
      <w:r w:rsidRPr="00174877">
        <w:rPr>
          <w:rFonts w:cs="Times New Roman"/>
          <w:color w:val="000000"/>
          <w:u w:val="single"/>
        </w:rPr>
        <w:t xml:space="preserve"> Everything we do is realism: Berlant's textual objects of study are mediations, attempts to work something out, exhibitions of tensed, embodied, affective realities</w:t>
      </w:r>
      <w:r w:rsidRPr="00174877">
        <w:rPr>
          <w:rFonts w:cs="Times New Roman"/>
          <w:color w:val="000000"/>
          <w:sz w:val="12"/>
          <w:szCs w:val="12"/>
        </w:rPr>
        <w:t xml:space="preserve">.1 This is the promise of </w:t>
      </w:r>
      <w:r w:rsidRPr="00174877">
        <w:rPr>
          <w:rFonts w:cs="Times New Roman"/>
          <w:color w:val="000000"/>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174877">
        <w:rPr>
          <w:rFonts w:cs="Times New Roman"/>
          <w:color w:val="000000"/>
          <w:sz w:val="12"/>
          <w:szCs w:val="12"/>
        </w:rPr>
        <w:t xml:space="preserve"> at the same time </w:t>
      </w:r>
      <w:r w:rsidRPr="00174877">
        <w:rPr>
          <w:rFonts w:cs="Times New Roman"/>
          <w:color w:val="000000"/>
          <w:u w:val="single"/>
        </w:rPr>
        <w:t>thinking of how bodies inject their own materiality</w:t>
      </w:r>
      <w:r w:rsidRPr="00174877">
        <w:rPr>
          <w:rFonts w:cs="Times New Roman"/>
          <w:color w:val="000000"/>
          <w:sz w:val="12"/>
          <w:szCs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174877">
        <w:rPr>
          <w:rFonts w:cs="Times New Roman"/>
          <w:color w:val="000000"/>
          <w:u w:val="single"/>
          <w:shd w:val="clear" w:color="auto" w:fill="FFFF00"/>
        </w:rPr>
        <w:t>Affect theory</w:t>
      </w:r>
      <w:r w:rsidRPr="00174877">
        <w:rPr>
          <w:rFonts w:cs="Times New Roman"/>
          <w:color w:val="000000"/>
          <w:u w:val="single"/>
        </w:rPr>
        <w:t xml:space="preserve"> in this vision is designed to </w:t>
      </w:r>
      <w:r w:rsidRPr="00174877">
        <w:rPr>
          <w:rFonts w:cs="Times New Roman"/>
          <w:color w:val="000000"/>
          <w:u w:val="single"/>
          <w:shd w:val="clear" w:color="auto" w:fill="FFFF00"/>
        </w:rPr>
        <w:t>explore[s]</w:t>
      </w:r>
      <w:r w:rsidRPr="00174877">
        <w:rPr>
          <w:rFonts w:cs="Times New Roman"/>
          <w:color w:val="000000"/>
          <w:u w:val="single"/>
        </w:rPr>
        <w:t xml:space="preserve"> the "crucial </w:t>
      </w:r>
      <w:r w:rsidRPr="00174877">
        <w:rPr>
          <w:rFonts w:cs="Times New Roman"/>
          <w:color w:val="000000"/>
          <w:u w:val="single"/>
          <w:shd w:val="clear" w:color="auto" w:fill="FFFF00"/>
        </w:rPr>
        <w:t>knowledges" of bodies outside</w:t>
      </w:r>
      <w:r w:rsidRPr="00174877">
        <w:rPr>
          <w:rFonts w:cs="Times New Roman"/>
          <w:color w:val="000000"/>
          <w:u w:val="single"/>
        </w:rPr>
        <w:t xml:space="preserve"> a </w:t>
      </w:r>
      <w:r w:rsidRPr="00174877">
        <w:rPr>
          <w:rFonts w:cs="Times New Roman"/>
          <w:color w:val="000000"/>
          <w:u w:val="single"/>
          <w:shd w:val="clear" w:color="auto" w:fill="FFFF00"/>
        </w:rPr>
        <w:t>purely theoretical</w:t>
      </w:r>
      <w:r w:rsidRPr="00174877">
        <w:rPr>
          <w:rFonts w:cs="Times New Roman"/>
          <w:color w:val="000000"/>
          <w:u w:val="single"/>
        </w:rPr>
        <w:t xml:space="preserve"> determination, outside</w:t>
      </w:r>
      <w:r w:rsidRPr="00174877">
        <w:rPr>
          <w:rFonts w:cs="Times New Roman"/>
          <w:color w:val="000000"/>
          <w:sz w:val="12"/>
          <w:szCs w:val="12"/>
        </w:rPr>
        <w:t xml:space="preserve"> the traditional </w:t>
      </w:r>
      <w:r w:rsidRPr="00174877">
        <w:rPr>
          <w:rFonts w:cs="Times New Roman"/>
          <w:color w:val="000000"/>
          <w:u w:val="single"/>
          <w:shd w:val="clear" w:color="auto" w:fill="FFFF00"/>
        </w:rPr>
        <w:t xml:space="preserve">domains of </w:t>
      </w:r>
      <w:r w:rsidRPr="00174877">
        <w:rPr>
          <w:rFonts w:cs="Times New Roman"/>
          <w:color w:val="000000"/>
          <w:u w:val="single"/>
        </w:rPr>
        <w:t>humanist scholarship—</w:t>
      </w:r>
      <w:r w:rsidRPr="00174877">
        <w:rPr>
          <w:rFonts w:cs="Times New Roman"/>
          <w:color w:val="000000"/>
          <w:u w:val="single"/>
          <w:shd w:val="clear" w:color="auto" w:fill="FFFF00"/>
        </w:rPr>
        <w:t>reason, cognition, and language</w:t>
      </w:r>
      <w:r w:rsidRPr="00174877">
        <w:rPr>
          <w:rFonts w:cs="Times New Roman"/>
          <w:color w:val="000000"/>
          <w:sz w:val="12"/>
          <w:szCs w:val="12"/>
        </w:rPr>
        <w:t xml:space="preserve"> (Sedgwick: 2003, 114). </w:t>
      </w:r>
      <w:r w:rsidRPr="00174877">
        <w:rPr>
          <w:rFonts w:cs="Times New Roman"/>
          <w:color w:val="000000"/>
          <w:u w:val="single"/>
          <w:shd w:val="clear" w:color="auto" w:fill="FFFF00"/>
        </w:rPr>
        <w:t>Affect</w:t>
      </w:r>
      <w:r w:rsidRPr="00174877">
        <w:rPr>
          <w:rFonts w:cs="Times New Roman"/>
          <w:color w:val="000000"/>
          <w:sz w:val="12"/>
          <w:szCs w:val="12"/>
        </w:rPr>
        <w:t xml:space="preserve">, for Lauren Berlant, </w:t>
      </w:r>
      <w:r w:rsidRPr="00174877">
        <w:rPr>
          <w:rFonts w:cs="Times New Roman"/>
          <w:color w:val="000000"/>
          <w:u w:val="single"/>
          <w:shd w:val="clear" w:color="auto" w:fill="FFFF00"/>
        </w:rPr>
        <w:t>is</w:t>
      </w:r>
      <w:r w:rsidRPr="00174877">
        <w:rPr>
          <w:rFonts w:cs="Times New Roman"/>
          <w:color w:val="000000"/>
          <w:sz w:val="12"/>
          <w:szCs w:val="12"/>
        </w:rPr>
        <w:t xml:space="preserve"> thus understandable as "sensual </w:t>
      </w:r>
      <w:r w:rsidRPr="00174877">
        <w:rPr>
          <w:rFonts w:cs="Times New Roman"/>
          <w:color w:val="000000"/>
          <w:u w:val="single"/>
          <w:shd w:val="clear" w:color="auto" w:fill="FFFF00"/>
        </w:rPr>
        <w:t>matter that is elsewhere to sovereign consciousness but</w:t>
      </w:r>
      <w:r w:rsidRPr="00174877">
        <w:rPr>
          <w:rFonts w:cs="Times New Roman"/>
          <w:color w:val="000000"/>
          <w:sz w:val="12"/>
          <w:szCs w:val="12"/>
        </w:rPr>
        <w:t xml:space="preserve"> that </w:t>
      </w:r>
      <w:r w:rsidRPr="00174877">
        <w:rPr>
          <w:rFonts w:cs="Times New Roman"/>
          <w:color w:val="000000"/>
          <w:u w:val="single"/>
          <w:shd w:val="clear" w:color="auto" w:fill="FFFF00"/>
        </w:rPr>
        <w:t>has</w:t>
      </w:r>
      <w:r w:rsidRPr="00174877">
        <w:rPr>
          <w:rFonts w:cs="Times New Roman"/>
          <w:color w:val="000000"/>
          <w:sz w:val="12"/>
          <w:szCs w:val="12"/>
        </w:rPr>
        <w:t xml:space="preserve"> historical </w:t>
      </w:r>
      <w:r w:rsidRPr="00174877">
        <w:rPr>
          <w:rFonts w:cs="Times New Roman"/>
          <w:color w:val="000000"/>
          <w:u w:val="single"/>
          <w:shd w:val="clear" w:color="auto" w:fill="FFFF00"/>
        </w:rPr>
        <w:t>significance in domains of subjectivity</w:t>
      </w:r>
      <w:r w:rsidRPr="00174877">
        <w:rPr>
          <w:rFonts w:cs="Times New Roman"/>
          <w:color w:val="000000"/>
          <w:sz w:val="12"/>
          <w:szCs w:val="12"/>
        </w:rPr>
        <w:t xml:space="preserve">" (Berlant: 2011, 53). </w:t>
      </w:r>
      <w:r w:rsidRPr="00174877">
        <w:rPr>
          <w:rFonts w:cs="Times New Roman"/>
          <w:color w:val="000000"/>
          <w:u w:val="single"/>
        </w:rPr>
        <w:t>Affect theory is about how systems of forces circulating within bodies</w:t>
      </w:r>
      <w:r w:rsidRPr="00174877">
        <w:rPr>
          <w:rFonts w:cs="Times New Roman"/>
          <w:color w:val="000000"/>
          <w:sz w:val="12"/>
          <w:szCs w:val="12"/>
        </w:rPr>
        <w:t>—forces not necessarily subsumable or describable by language—</w:t>
      </w:r>
      <w:r w:rsidRPr="00174877">
        <w:rPr>
          <w:rFonts w:cs="Times New Roman"/>
          <w:color w:val="000000"/>
          <w:u w:val="single"/>
        </w:rPr>
        <w:t>interface with histories</w:t>
      </w:r>
      <w:r w:rsidRPr="00174877">
        <w:rPr>
          <w:rFonts w:cs="Times New Roman"/>
          <w:color w:val="000000"/>
          <w:sz w:val="12"/>
          <w:szCs w:val="12"/>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Ahmed and Berlant locate </w:t>
      </w:r>
      <w:r w:rsidRPr="00174877">
        <w:rPr>
          <w:rFonts w:cs="Times New Roman"/>
          <w:color w:val="000000"/>
          <w:u w:val="single"/>
        </w:rPr>
        <w:t>affect theory [is]</w:t>
      </w:r>
      <w:r w:rsidRPr="00174877">
        <w:rPr>
          <w:rFonts w:cs="Times New Roman"/>
          <w:color w:val="000000"/>
          <w:sz w:val="12"/>
          <w:szCs w:val="12"/>
        </w:rPr>
        <w:t xml:space="preserve"> as a </w:t>
      </w:r>
      <w:r w:rsidRPr="00174877">
        <w:rPr>
          <w:rFonts w:cs="Times New Roman"/>
          <w:color w:val="000000"/>
          <w:u w:val="single"/>
        </w:rPr>
        <w:t>phenomenological, rather than ontological</w:t>
      </w:r>
      <w:r w:rsidRPr="00174877">
        <w:rPr>
          <w:rFonts w:cs="Times New Roman"/>
          <w:color w:val="000000"/>
          <w:sz w:val="12"/>
          <w:szCs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w:t>
      </w:r>
      <w:r w:rsidRPr="00174877">
        <w:rPr>
          <w:rFonts w:cs="Times New Roman"/>
          <w:color w:val="000000"/>
          <w:u w:val="single"/>
        </w:rPr>
        <w:t>Happiness is not autonomous,</w:t>
      </w:r>
      <w:r w:rsidRPr="00174877">
        <w:rPr>
          <w:rFonts w:cs="Times New Roman"/>
          <w:color w:val="000000"/>
          <w:sz w:val="12"/>
          <w:szCs w:val="12"/>
        </w:rPr>
        <w:t xml:space="preserve"> Ahmed argues, </w:t>
      </w:r>
      <w:r w:rsidRPr="00174877">
        <w:rPr>
          <w:rFonts w:cs="Times New Roman"/>
          <w:color w:val="000000"/>
          <w:u w:val="single"/>
        </w:rPr>
        <w:t>but a relationship of evaluation that creates the horizon of the self.</w:t>
      </w:r>
      <w:r w:rsidRPr="00174877">
        <w:rPr>
          <w:rFonts w:cs="Times New Roman"/>
          <w:color w:val="000000"/>
          <w:sz w:val="12"/>
          <w:szCs w:val="12"/>
        </w:rPr>
        <w:t xml:space="preserve"> For Ahmed, the "near sphere" of </w:t>
      </w:r>
      <w:r w:rsidRPr="00174877">
        <w:rPr>
          <w:rFonts w:cs="Times New Roman"/>
          <w:color w:val="000000"/>
          <w:u w:val="single"/>
        </w:rPr>
        <w:t>the self is constituted by a perimeter studded with "happy objects." This cluster</w:t>
      </w:r>
      <w:r w:rsidRPr="00174877">
        <w:rPr>
          <w:rFonts w:cs="Times New Roman"/>
          <w:color w:val="000000"/>
          <w:sz w:val="12"/>
          <w:szCs w:val="12"/>
        </w:rPr>
        <w:t xml:space="preserve"> of objects </w:t>
      </w:r>
      <w:r w:rsidRPr="00174877">
        <w:rPr>
          <w:rFonts w:cs="Times New Roman"/>
          <w:color w:val="000000"/>
          <w:u w:val="single"/>
        </w:rPr>
        <w:t>is what gives the field of mobile operations of the self its shape</w:t>
      </w:r>
      <w:r w:rsidRPr="00174877">
        <w:rPr>
          <w:rFonts w:cs="Times New Roman"/>
          <w:color w:val="000000"/>
          <w:sz w:val="12"/>
          <w:szCs w:val="12"/>
        </w:rPr>
        <w:t xml:space="preserv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book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174877">
        <w:rPr>
          <w:rFonts w:cs="Times New Roman"/>
          <w:color w:val="000000"/>
          <w:u w:val="single"/>
          <w:shd w:val="clear" w:color="auto" w:fill="FFFF00"/>
        </w:rPr>
        <w:t>Cruel optimism</w:t>
      </w:r>
      <w:r w:rsidRPr="00174877">
        <w:rPr>
          <w:rFonts w:cs="Times New Roman"/>
          <w:color w:val="000000"/>
          <w:sz w:val="12"/>
          <w:szCs w:val="12"/>
        </w:rPr>
        <w:t xml:space="preserve">, she explains at the book's outset, refers to a relation that </w:t>
      </w:r>
      <w:r w:rsidRPr="00174877">
        <w:rPr>
          <w:rFonts w:cs="Times New Roman"/>
          <w:color w:val="000000"/>
          <w:u w:val="single"/>
          <w:shd w:val="clear" w:color="auto" w:fill="FFFF00"/>
        </w:rPr>
        <w:t>emerges "when something you desire is actually an obstacle to your flourishing</w:t>
      </w:r>
      <w:r w:rsidRPr="00174877">
        <w:rPr>
          <w:rFonts w:cs="Times New Roman"/>
          <w:color w:val="000000"/>
          <w:sz w:val="12"/>
          <w:szCs w:val="12"/>
        </w:rPr>
        <w:t xml:space="preserve">. It might involve food, or a kind of love; </w:t>
      </w:r>
      <w:r w:rsidRPr="00174877">
        <w:rPr>
          <w:rFonts w:cs="Times New Roman"/>
          <w:color w:val="000000"/>
          <w:u w:val="single"/>
        </w:rPr>
        <w:t xml:space="preserve">it might be </w:t>
      </w:r>
      <w:r w:rsidRPr="00174877">
        <w:rPr>
          <w:rFonts w:cs="Times New Roman"/>
          <w:color w:val="000000"/>
          <w:u w:val="single"/>
          <w:shd w:val="clear" w:color="auto" w:fill="FFFF00"/>
        </w:rPr>
        <w:t>a fantasy of the good life, or a political project</w:t>
      </w:r>
      <w:r w:rsidRPr="00174877">
        <w:rPr>
          <w:rFonts w:cs="Times New Roman"/>
          <w:color w:val="000000"/>
          <w:sz w:val="12"/>
          <w:szCs w:val="12"/>
        </w:rPr>
        <w:t xml:space="preserve">" (Berlant: 2011, 1). Berlant explores a range of situations where </w:t>
      </w:r>
      <w:r w:rsidRPr="00174877">
        <w:rPr>
          <w:rFonts w:cs="Times New Roman"/>
          <w:color w:val="000000"/>
          <w:u w:val="single"/>
        </w:rPr>
        <w:t>these attachments emerge, as a response to trauma or out of the ongoing pressures of the ordinary</w:t>
      </w:r>
      <w:r w:rsidRPr="00174877">
        <w:rPr>
          <w:rFonts w:cs="Times New Roman"/>
          <w:color w:val="000000"/>
          <w:sz w:val="12"/>
          <w:szCs w:val="12"/>
        </w:rPr>
        <w:t xml:space="preserve">,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w:t>
      </w:r>
      <w:r w:rsidRPr="00174877">
        <w:rPr>
          <w:rFonts w:cs="Times New Roman"/>
          <w:color w:val="000000"/>
          <w:u w:val="single"/>
        </w:rPr>
        <w:t>tracing the connective tissue between bodies and situations is</w:t>
      </w:r>
      <w:r w:rsidRPr="00174877">
        <w:rPr>
          <w:rFonts w:cs="Times New Roman"/>
          <w:color w:val="000000"/>
          <w:sz w:val="12"/>
          <w:szCs w:val="12"/>
        </w:rPr>
        <w:t xml:space="preserve"> what lets Berlant speak to </w:t>
      </w:r>
      <w:r w:rsidRPr="00174877">
        <w:rPr>
          <w:rFonts w:cs="Times New Roman"/>
          <w:color w:val="000000"/>
          <w:u w:val="single"/>
        </w:rPr>
        <w:t>the political use</w:t>
      </w:r>
      <w:r w:rsidRPr="00174877">
        <w:rPr>
          <w:rFonts w:cs="Times New Roman"/>
          <w:color w:val="000000"/>
          <w:sz w:val="12"/>
          <w:szCs w:val="12"/>
        </w:rPr>
        <w:t xml:space="preserve">s </w:t>
      </w:r>
      <w:r w:rsidRPr="00174877">
        <w:rPr>
          <w:rFonts w:cs="Times New Roman"/>
          <w:color w:val="000000"/>
          <w:u w:val="single"/>
        </w:rPr>
        <w:t>of affect</w:t>
      </w:r>
      <w:r w:rsidRPr="00174877">
        <w:rPr>
          <w:rFonts w:cs="Times New Roman"/>
          <w:color w:val="000000"/>
          <w:sz w:val="12"/>
          <w:szCs w:val="12"/>
        </w:rPr>
        <w:t xml:space="preserve">. She suggests that affect theory is a "another phase in the history of ideology theory," that it "brings us back to the encounter of what is sensed with what is known and what has impact in a new but also recognizable way" (Berlant: 2011, 53). </w:t>
      </w:r>
      <w:r w:rsidRPr="00174877">
        <w:rPr>
          <w:rFonts w:cs="Times New Roman"/>
          <w:color w:val="000000"/>
          <w:u w:val="single"/>
          <w:shd w:val="clear" w:color="auto" w:fill="FFFF00"/>
        </w:rPr>
        <w:t>Affect</w:t>
      </w:r>
      <w:r w:rsidRPr="00174877">
        <w:rPr>
          <w:rFonts w:cs="Times New Roman"/>
          <w:color w:val="000000"/>
          <w:sz w:val="12"/>
          <w:szCs w:val="12"/>
        </w:rPr>
        <w:t>—especially ordinary affect—</w:t>
      </w:r>
      <w:r w:rsidRPr="00174877">
        <w:rPr>
          <w:rFonts w:cs="Times New Roman"/>
          <w:color w:val="000000"/>
          <w:u w:val="single"/>
          <w:shd w:val="clear" w:color="auto" w:fill="FFFF00"/>
        </w:rPr>
        <w:t>is the missing link between discursive regimes and bodies</w:t>
      </w:r>
      <w:r w:rsidRPr="00174877">
        <w:rPr>
          <w:rFonts w:cs="Times New Roman"/>
          <w:color w:val="000000"/>
          <w:u w:val="single"/>
        </w:rPr>
        <w:t>, the arterial linkages through which power is disseminated. "</w:t>
      </w:r>
      <w:r w:rsidRPr="00174877">
        <w:rPr>
          <w:rFonts w:cs="Times New Roman"/>
          <w:color w:val="000000"/>
          <w:u w:val="single"/>
          <w:shd w:val="clear" w:color="auto" w:fill="FFFF00"/>
        </w:rPr>
        <w:t>The present" is not an assemblage of texts and knowledges, bloodless discursive inscriptions</w:t>
      </w:r>
      <w:r w:rsidRPr="00174877">
        <w:rPr>
          <w:rFonts w:cs="Times New Roman"/>
          <w:color w:val="000000"/>
          <w:u w:val="single"/>
        </w:rPr>
        <w:t xml:space="preserve"> on the body, </w:t>
      </w:r>
      <w:r w:rsidRPr="00174877">
        <w:rPr>
          <w:rFonts w:cs="Times New Roman"/>
          <w:color w:val="000000"/>
          <w:u w:val="single"/>
          <w:shd w:val="clear" w:color="auto" w:fill="FFFF00"/>
        </w:rPr>
        <w:t xml:space="preserve">but a felt sense out of which political circumstances emerge. </w:t>
      </w:r>
      <w:r w:rsidRPr="00174877">
        <w:rPr>
          <w:rFonts w:cs="Times New Roman"/>
          <w:color w:val="000000"/>
          <w:u w:val="single"/>
        </w:rPr>
        <w:t>"We understand nothing about impasses of the political," she writes, "without having an account of the production of the present"</w:t>
      </w:r>
      <w:r w:rsidRPr="00174877">
        <w:rPr>
          <w:rFonts w:cs="Times New Roman"/>
          <w:color w:val="000000"/>
          <w:sz w:val="12"/>
          <w:szCs w:val="12"/>
        </w:rPr>
        <w:t xml:space="preserve"> (Berlant: 2011, 4).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w:t>
      </w:r>
      <w:r w:rsidRPr="00174877">
        <w:rPr>
          <w:rFonts w:cs="Times New Roman"/>
          <w:color w:val="000000"/>
          <w:u w:val="single"/>
        </w:rPr>
        <w:t xml:space="preserve">Rather than a singularly identifiable feeling, optimism takes the phenomenological form of a "knotty tethering to objects, scenes, and modes of life that generate so much overwhelming yet sustaining negation" (Berlant: 2011, 52). </w:t>
      </w:r>
      <w:r w:rsidRPr="00174877">
        <w:rPr>
          <w:rFonts w:cs="Times New Roman"/>
          <w:color w:val="000000"/>
          <w:u w:val="single"/>
          <w:shd w:val="clear" w:color="auto" w:fill="FFFF00"/>
        </w:rPr>
        <w:t xml:space="preserve">Optimism binds bodies to "fantasies of the good life," </w:t>
      </w:r>
      <w:r w:rsidRPr="00174877">
        <w:rPr>
          <w:rFonts w:cs="Times New Roman"/>
          <w:color w:val="000000"/>
          <w:u w:val="single"/>
        </w:rPr>
        <w:t xml:space="preserve">to horizons of </w:t>
      </w:r>
      <w:r w:rsidRPr="00174877">
        <w:rPr>
          <w:rFonts w:cs="Times New Roman"/>
          <w:color w:val="000000"/>
          <w:u w:val="single"/>
          <w:shd w:val="clear" w:color="auto" w:fill="FFFF00"/>
        </w:rPr>
        <w:t xml:space="preserve">possibility that may or may not be defeated by the conditions of their own emergence. </w:t>
      </w:r>
      <w:r w:rsidRPr="00174877">
        <w:rPr>
          <w:rFonts w:cs="Times New Roman"/>
          <w:color w:val="000000"/>
          <w:u w:val="single"/>
        </w:rPr>
        <w:t>Cruel optimism is the outcome of this circumstance of tethering confused by itself, of Möbius-strip cycles of ambition and frustration.</w:t>
      </w:r>
      <w:r w:rsidRPr="00174877">
        <w:rPr>
          <w:rFonts w:cs="Times New Roman"/>
          <w:color w:val="000000"/>
          <w:sz w:val="12"/>
          <w:szCs w:val="12"/>
        </w:rPr>
        <w:t xml:space="preserve">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174877">
        <w:rPr>
          <w:rFonts w:cs="Times New Roman"/>
          <w:color w:val="000000"/>
          <w:u w:val="single"/>
        </w:rPr>
        <w:t>cruel optimism</w:t>
      </w:r>
      <w:r w:rsidRPr="00174877">
        <w:rPr>
          <w:rFonts w:cs="Times New Roman"/>
          <w:color w:val="000000"/>
          <w:sz w:val="12"/>
          <w:szCs w:val="12"/>
        </w:rPr>
        <w:t xml:space="preserve">, they brainstormed the following list: heroin, abusive relationships, candy, horcruxes. Each of these instances </w:t>
      </w:r>
      <w:r w:rsidRPr="00174877">
        <w:rPr>
          <w:rFonts w:cs="Times New Roman"/>
          <w:color w:val="000000"/>
          <w:u w:val="single"/>
        </w:rPr>
        <w:t>suggests a vital but destructive need, an ambivalent compulsion—an addiction</w:t>
      </w:r>
      <w:r w:rsidRPr="00174877">
        <w:rPr>
          <w:rFonts w:cs="Times New Roman"/>
          <w:color w:val="000000"/>
          <w:sz w:val="12"/>
          <w:szCs w:val="12"/>
        </w:rPr>
        <w:t xml:space="preserve">, where the tectonic plates of the body's affects shift in friction with one another. </w:t>
      </w:r>
      <w:r w:rsidRPr="00174877">
        <w:rPr>
          <w:rFonts w:cs="Times New Roman"/>
          <w:color w:val="000000"/>
          <w:u w:val="single"/>
        </w:rPr>
        <w:t>Cruel optimism indexes these moments where a body desires and needs an arrangement of the world that is also frustrating or corrosive</w:t>
      </w:r>
      <w:r w:rsidRPr="00174877">
        <w:rPr>
          <w:rFonts w:cs="Times New Roman"/>
          <w:color w:val="000000"/>
          <w:sz w:val="12"/>
          <w:szCs w:val="12"/>
        </w:rPr>
        <w:t xml:space="preser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174877">
        <w:rPr>
          <w:rFonts w:cs="Times New Roman"/>
          <w:color w:val="000000"/>
          <w:u w:val="single"/>
        </w:rPr>
        <w:t>Politics produces fantasies, tethers that draw us forward to particular attachments in the form of images, narratives, bodily practices</w:t>
      </w:r>
      <w:r w:rsidRPr="00174877">
        <w:rPr>
          <w:rFonts w:cs="Times New Roman"/>
          <w:color w:val="000000"/>
          <w:sz w:val="12"/>
          <w:szCs w:val="12"/>
        </w:rPr>
        <w:t xml:space="preserve">. But </w:t>
      </w:r>
      <w:r w:rsidRPr="00174877">
        <w:rPr>
          <w:rFonts w:cs="Times New Roman"/>
          <w:color w:val="000000"/>
          <w:u w:val="single"/>
        </w:rPr>
        <w:t>these fantasies also contain the elements of their own frustration or refusal.</w:t>
      </w:r>
      <w:r w:rsidRPr="00174877">
        <w:rPr>
          <w:rFonts w:cs="Times New Roman"/>
          <w:color w:val="000000"/>
          <w:sz w:val="12"/>
          <w:szCs w:val="12"/>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174877">
        <w:rPr>
          <w:rFonts w:cs="Times New Roman"/>
          <w:color w:val="000000"/>
          <w:u w:val="single"/>
          <w:shd w:val="clear" w:color="auto" w:fill="FFFF00"/>
        </w:rPr>
        <w:t xml:space="preserve">affect theory offers </w:t>
      </w:r>
      <w:r w:rsidRPr="00174877">
        <w:rPr>
          <w:rFonts w:cs="Times New Roman"/>
          <w:color w:val="000000"/>
          <w:u w:val="single"/>
        </w:rPr>
        <w:t xml:space="preserve">a crucial set of </w:t>
      </w:r>
      <w:r w:rsidRPr="00174877">
        <w:rPr>
          <w:rFonts w:cs="Times New Roman"/>
          <w:color w:val="000000"/>
          <w:u w:val="single"/>
          <w:shd w:val="clear" w:color="auto" w:fill="FFFF00"/>
        </w:rPr>
        <w:t>resources for thinking through the relationship between bodies and discourses</w:t>
      </w:r>
      <w:r w:rsidRPr="00174877">
        <w:rPr>
          <w:rFonts w:cs="Times New Roman"/>
          <w:color w:val="000000"/>
          <w:u w:val="single"/>
        </w:rPr>
        <w:t>.</w:t>
      </w:r>
      <w:r w:rsidRPr="00174877">
        <w:rPr>
          <w:rFonts w:cs="Times New Roman"/>
          <w:color w:val="000000"/>
          <w:sz w:val="12"/>
          <w:szCs w:val="12"/>
        </w:rPr>
        <w:t xml:space="preserve"> The enterprise of thinking politics, of mapping the enfolding of bodies by power, cannot move</w:t>
      </w:r>
    </w:p>
    <w:p w14:paraId="29F2E201" w14:textId="77777777" w:rsidR="00642410" w:rsidRPr="005149DB" w:rsidRDefault="00642410" w:rsidP="00642410">
      <w:pPr>
        <w:rPr>
          <w:sz w:val="12"/>
        </w:rPr>
      </w:pPr>
    </w:p>
    <w:p w14:paraId="65D4FCE7" w14:textId="77777777" w:rsidR="00642410" w:rsidRPr="00174877" w:rsidRDefault="00642410" w:rsidP="00642410">
      <w:pPr>
        <w:pStyle w:val="Heading4"/>
      </w:pPr>
      <w:r w:rsidRPr="00174877">
        <w:t xml:space="preserve">Outweighs – (a) Even you win your framework, this outweighs because we cant cohere to that </w:t>
      </w:r>
      <w:r>
        <w:t xml:space="preserve">, because systems of power need to be open to change which is not possible through stability. </w:t>
      </w:r>
      <w:r w:rsidRPr="00174877">
        <w:t>and (b) the statement of affirmation is sufficient to affirm. The nature of affect is such that any singularity of expression must be taken as an individual’s truth, thus my stance is sufficient to affirm.</w:t>
      </w:r>
      <w:r>
        <w:t xml:space="preserve"> Also you cannot negate and promote individual truth because you staticize the subject.</w:t>
      </w:r>
    </w:p>
    <w:p w14:paraId="36F72121" w14:textId="77777777" w:rsidR="00642410" w:rsidRDefault="00642410" w:rsidP="00642410">
      <w:pPr>
        <w:rPr>
          <w:rStyle w:val="Emphasis"/>
        </w:rPr>
      </w:pPr>
    </w:p>
    <w:p w14:paraId="41BEC874" w14:textId="77777777" w:rsidR="00642410" w:rsidRPr="001F5B06" w:rsidRDefault="00642410" w:rsidP="00642410"/>
    <w:p w14:paraId="4F1CDF55" w14:textId="77777777" w:rsidR="00642410" w:rsidRDefault="00642410" w:rsidP="00642410">
      <w:pPr>
        <w:pStyle w:val="Heading2"/>
      </w:pPr>
      <w:r w:rsidRPr="003E035C">
        <w:t>Offense</w:t>
      </w:r>
    </w:p>
    <w:p w14:paraId="21B0ADE0" w14:textId="77777777" w:rsidR="00642410" w:rsidRPr="00000ED7" w:rsidRDefault="00642410" w:rsidP="00642410">
      <w:pPr>
        <w:pStyle w:val="Heading4"/>
      </w:pPr>
      <w:r w:rsidRPr="00E528ED">
        <w:t>Thus, the advocacy: I’ll defend the resolution as a general principle and am willing to clarify or specify anything in CX to avoid frivolous T debates. Assume I-meet if not asked because I could’ve met in CX and the abuse would’ve been solved. PICs don’t negate because general principles tolerate exceptions</w:t>
      </w:r>
    </w:p>
    <w:p w14:paraId="120B36BB" w14:textId="77777777" w:rsidR="00642410" w:rsidRPr="00B81E56" w:rsidRDefault="00642410" w:rsidP="00642410">
      <w:pPr>
        <w:pStyle w:val="Heading4"/>
        <w:rPr>
          <w:rFonts w:asciiTheme="minorHAnsi" w:hAnsiTheme="minorHAnsi" w:cstheme="minorHAnsi"/>
        </w:rPr>
      </w:pPr>
      <w:r w:rsidRPr="00B81E56">
        <w:rPr>
          <w:rFonts w:asciiTheme="minorHAnsi" w:hAnsiTheme="minorHAnsi" w:cstheme="minorHAnsi"/>
        </w:rPr>
        <w:t xml:space="preserve">Medical intellectual property protections proliferate the Empire’s </w:t>
      </w:r>
      <w:r w:rsidRPr="00B81E56">
        <w:rPr>
          <w:rFonts w:asciiTheme="minorHAnsi" w:hAnsiTheme="minorHAnsi" w:cstheme="minorHAnsi"/>
          <w:u w:val="single"/>
        </w:rPr>
        <w:t>parasitic</w:t>
      </w:r>
      <w:r w:rsidRPr="00B81E56">
        <w:rPr>
          <w:rFonts w:asciiTheme="minorHAnsi" w:hAnsiTheme="minorHAnsi" w:cstheme="minorHAnsi"/>
        </w:rPr>
        <w:t xml:space="preserve"> control of subjects by restricting </w:t>
      </w:r>
      <w:r w:rsidRPr="00B81E56">
        <w:rPr>
          <w:rFonts w:asciiTheme="minorHAnsi" w:hAnsiTheme="minorHAnsi" w:cstheme="minorHAnsi"/>
          <w:u w:val="single"/>
        </w:rPr>
        <w:t>affective communication</w:t>
      </w:r>
      <w:r>
        <w:rPr>
          <w:rFonts w:asciiTheme="minorHAnsi" w:hAnsiTheme="minorHAnsi" w:cstheme="minorHAnsi"/>
        </w:rPr>
        <w:t>.</w:t>
      </w:r>
      <w:r w:rsidRPr="00B81E56">
        <w:rPr>
          <w:rFonts w:asciiTheme="minorHAnsi" w:hAnsiTheme="minorHAnsi" w:cstheme="minorHAnsi"/>
        </w:rPr>
        <w:t xml:space="preserve"> </w:t>
      </w:r>
    </w:p>
    <w:p w14:paraId="533F5AEE" w14:textId="77777777" w:rsidR="00642410" w:rsidRPr="00B81E56" w:rsidRDefault="00642410" w:rsidP="00642410">
      <w:pPr>
        <w:rPr>
          <w:rFonts w:asciiTheme="minorHAnsi" w:hAnsiTheme="minorHAnsi" w:cstheme="minorHAnsi"/>
        </w:rPr>
      </w:pPr>
      <w:r w:rsidRPr="00B81E56">
        <w:rPr>
          <w:rFonts w:asciiTheme="minorHAnsi" w:eastAsiaTheme="majorEastAsia" w:hAnsiTheme="minorHAnsi" w:cstheme="minorHAnsi"/>
          <w:b/>
          <w:iCs/>
          <w:sz w:val="26"/>
        </w:rPr>
        <w:t xml:space="preserve">Lemmens – </w:t>
      </w:r>
      <w:r w:rsidRPr="00B81E56">
        <w:rPr>
          <w:rFonts w:asciiTheme="minorHAnsi" w:hAnsiTheme="minorHAnsi" w:cstheme="minorHAnsi"/>
        </w:rPr>
        <w:t>Lemmens,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w:t>
      </w:r>
      <w:r>
        <w:rPr>
          <w:rFonts w:asciiTheme="minorHAnsi" w:hAnsiTheme="minorHAnsi" w:cstheme="minorHAnsi"/>
        </w:rPr>
        <w:t>, [</w:t>
      </w:r>
      <w:r w:rsidRPr="00000ED7">
        <w:rPr>
          <w:rFonts w:asciiTheme="minorHAnsi" w:hAnsiTheme="minorHAnsi" w:cstheme="minorHAnsi"/>
        </w:rPr>
        <w:t>https://www.ru.nl/publish/pages/685630/conditions_of_the_common_pl.pdf</w:t>
      </w:r>
      <w:r>
        <w:rPr>
          <w:rFonts w:asciiTheme="minorHAnsi" w:hAnsiTheme="minorHAnsi" w:cstheme="minorHAnsi"/>
        </w:rPr>
        <w:t>]</w:t>
      </w:r>
    </w:p>
    <w:p w14:paraId="409042BD" w14:textId="77777777" w:rsidR="00642410" w:rsidRPr="00B81E56" w:rsidRDefault="00642410" w:rsidP="00642410">
      <w:pPr>
        <w:pStyle w:val="NormalWeb"/>
        <w:spacing w:before="240" w:beforeAutospacing="0" w:after="240" w:afterAutospacing="0"/>
        <w:rPr>
          <w:rFonts w:asciiTheme="minorHAnsi" w:hAnsiTheme="minorHAnsi" w:cstheme="minorHAnsi"/>
          <w:color w:val="000000"/>
          <w:sz w:val="16"/>
          <w:szCs w:val="22"/>
        </w:rPr>
      </w:pPr>
      <w:r w:rsidRPr="0099755A">
        <w:rPr>
          <w:rStyle w:val="Emphasis"/>
          <w:rFonts w:asciiTheme="minorHAnsi" w:hAnsiTheme="minorHAnsi" w:cstheme="minorHAnsi"/>
          <w:highlight w:val="yellow"/>
        </w:rPr>
        <w:t>Immaterial labour is becoming increasingly free and</w:t>
      </w:r>
      <w:r w:rsidRPr="00B81E56">
        <w:rPr>
          <w:rStyle w:val="Emphasis"/>
          <w:rFonts w:asciiTheme="minorHAnsi" w:hAnsiTheme="minorHAnsi" w:cstheme="minorHAnsi"/>
        </w:rPr>
        <w:t xml:space="preserve"> autonomous and </w:t>
      </w:r>
      <w:r w:rsidRPr="0099755A">
        <w:rPr>
          <w:rStyle w:val="Emphasis"/>
          <w:rFonts w:asciiTheme="minorHAnsi" w:hAnsiTheme="minorHAnsi" w:cstheme="minorHAnsi"/>
          <w:highlight w:val="yellow"/>
        </w:rPr>
        <w:t>capital</w:t>
      </w:r>
      <w:r w:rsidRPr="00B81E56">
        <w:rPr>
          <w:rStyle w:val="Emphasis"/>
          <w:rFonts w:asciiTheme="minorHAnsi" w:hAnsiTheme="minorHAnsi" w:cstheme="minorHAnsi"/>
        </w:rPr>
        <w:t xml:space="preserve"> ever </w:t>
      </w:r>
      <w:r w:rsidRPr="0099755A">
        <w:rPr>
          <w:rStyle w:val="Emphasis"/>
          <w:rFonts w:asciiTheme="minorHAnsi" w:hAnsiTheme="minorHAnsi" w:cstheme="minorHAnsi"/>
          <w:highlight w:val="yellow"/>
        </w:rPr>
        <w:t>more</w:t>
      </w:r>
      <w:r w:rsidRPr="00B81E56">
        <w:rPr>
          <w:rStyle w:val="Emphasis"/>
          <w:rFonts w:asciiTheme="minorHAnsi" w:hAnsiTheme="minorHAnsi" w:cstheme="minorHAnsi"/>
        </w:rPr>
        <w:t xml:space="preserve"> dependent and </w:t>
      </w:r>
      <w:r w:rsidRPr="0099755A">
        <w:rPr>
          <w:rStyle w:val="Emphasis"/>
          <w:rFonts w:asciiTheme="minorHAnsi" w:hAnsiTheme="minorHAnsi" w:cstheme="minorHAnsi"/>
          <w:highlight w:val="yellow"/>
        </w:rPr>
        <w:t>parasitic, forced to block the movements of knowledge</w:t>
      </w:r>
      <w:r w:rsidRPr="00B81E56">
        <w:rPr>
          <w:rStyle w:val="Emphasis"/>
          <w:rFonts w:asciiTheme="minorHAnsi" w:hAnsiTheme="minorHAnsi" w:cstheme="minorHAnsi"/>
        </w:rPr>
        <w:t xml:space="preserve">, communication and cooperation (e.g. </w:t>
      </w:r>
      <w:r w:rsidRPr="0099755A">
        <w:rPr>
          <w:rStyle w:val="Emphasis"/>
          <w:rFonts w:asciiTheme="minorHAnsi" w:hAnsiTheme="minorHAnsi" w:cstheme="minorHAnsi"/>
          <w:highlight w:val="yellow"/>
        </w:rPr>
        <w:t>through intellectual property rights</w:t>
      </w:r>
      <w:r w:rsidRPr="00B81E56">
        <w:rPr>
          <w:rStyle w:val="Emphasis"/>
          <w:rFonts w:asciiTheme="minorHAnsi" w:hAnsiTheme="minorHAnsi" w:cstheme="minorHAnsi"/>
        </w:rPr>
        <w:t xml:space="preserve">) in order </w:t>
      </w:r>
      <w:r w:rsidRPr="0099755A">
        <w:rPr>
          <w:rStyle w:val="Emphasis"/>
          <w:rFonts w:asciiTheme="minorHAnsi" w:hAnsiTheme="minorHAnsi" w:cstheme="minorHAnsi"/>
          <w:highlight w:val="yellow"/>
        </w:rPr>
        <w:t>to survive</w:t>
      </w:r>
      <w:r w:rsidRPr="00B81E56">
        <w:rPr>
          <w:rFonts w:asciiTheme="minorHAnsi" w:hAnsiTheme="minorHAnsi" w:cstheme="minorHAnsi"/>
          <w:b/>
          <w:bCs/>
          <w:color w:val="000000"/>
          <w:sz w:val="22"/>
          <w:szCs w:val="22"/>
          <w:u w:val="single"/>
        </w:rPr>
        <w:t xml:space="preserve"> (Hardt &amp; Negri, 2009: 142). Whereas the multitude ‘is the real productive force of our social world’, therefore, ‘</w:t>
      </w:r>
      <w:r w:rsidRPr="0099755A">
        <w:rPr>
          <w:rFonts w:asciiTheme="minorHAnsi" w:hAnsiTheme="minorHAnsi" w:cstheme="minorHAnsi"/>
          <w:b/>
          <w:bCs/>
          <w:color w:val="000000"/>
          <w:sz w:val="22"/>
          <w:szCs w:val="22"/>
          <w:highlight w:val="yellow"/>
          <w:u w:val="single"/>
        </w:rPr>
        <w:t>Empire is a</w:t>
      </w:r>
      <w:r w:rsidRPr="00B81E56">
        <w:rPr>
          <w:rFonts w:asciiTheme="minorHAnsi" w:hAnsiTheme="minorHAnsi" w:cstheme="minorHAnsi"/>
          <w:b/>
          <w:bCs/>
          <w:color w:val="000000"/>
          <w:sz w:val="22"/>
          <w:szCs w:val="22"/>
          <w:u w:val="single"/>
        </w:rPr>
        <w:t xml:space="preserve"> mere </w:t>
      </w:r>
      <w:r w:rsidRPr="0099755A">
        <w:rPr>
          <w:rFonts w:asciiTheme="minorHAnsi" w:hAnsiTheme="minorHAnsi" w:cstheme="minorHAnsi"/>
          <w:b/>
          <w:bCs/>
          <w:color w:val="000000"/>
          <w:sz w:val="22"/>
          <w:szCs w:val="22"/>
          <w:highlight w:val="yellow"/>
          <w:u w:val="single"/>
        </w:rPr>
        <w:t>apparatus of capture that lives off the vitality of the multitude</w:t>
      </w:r>
      <w:r w:rsidRPr="00B81E56">
        <w:rPr>
          <w:rFonts w:asciiTheme="minorHAnsi" w:hAnsiTheme="minorHAnsi" w:cstheme="minorHAnsi"/>
          <w:color w:val="000000"/>
          <w:sz w:val="16"/>
          <w:szCs w:val="22"/>
        </w:rPr>
        <w:t xml:space="preserve"> – as Marx would say, </w:t>
      </w:r>
      <w:r w:rsidRPr="00B81E56">
        <w:rPr>
          <w:rFonts w:asciiTheme="minorHAnsi" w:hAnsiTheme="minorHAnsi" w:cstheme="minorHAnsi"/>
          <w:color w:val="000000"/>
          <w:sz w:val="22"/>
          <w:szCs w:val="22"/>
          <w:u w:val="single"/>
        </w:rPr>
        <w:t>a vampire regime of accumulated dead labor that survives only by sucking off the blood of the living’</w:t>
      </w:r>
      <w:r w:rsidRPr="00B81E56">
        <w:rPr>
          <w:rFonts w:asciiTheme="minorHAnsi" w:hAnsiTheme="minorHAnsi" w:cstheme="minorHAnsi"/>
          <w:color w:val="000000"/>
          <w:sz w:val="16"/>
          <w:szCs w:val="22"/>
        </w:rPr>
        <w:t xml:space="preserve">; it is nothing but ‘an empty machine, a spectacular machine, a parasitical machine’ (Hardt &amp; Negri, 2000: 62). </w:t>
      </w:r>
      <w:r w:rsidRPr="0099755A">
        <w:rPr>
          <w:rFonts w:asciiTheme="minorHAnsi" w:hAnsiTheme="minorHAnsi" w:cstheme="minorHAnsi"/>
          <w:b/>
          <w:bCs/>
          <w:color w:val="000000"/>
          <w:sz w:val="22"/>
          <w:szCs w:val="22"/>
          <w:highlight w:val="yellow"/>
          <w:u w:val="single"/>
        </w:rPr>
        <w:t>Capital</w:t>
      </w:r>
      <w:r w:rsidRPr="00B81E56">
        <w:rPr>
          <w:rFonts w:asciiTheme="minorHAnsi" w:hAnsiTheme="minorHAnsi" w:cstheme="minorHAnsi"/>
          <w:b/>
          <w:bCs/>
          <w:color w:val="000000"/>
          <w:sz w:val="22"/>
          <w:szCs w:val="22"/>
          <w:u w:val="single"/>
        </w:rPr>
        <w:t xml:space="preserve"> thereby </w:t>
      </w:r>
      <w:r w:rsidRPr="0099755A">
        <w:rPr>
          <w:rFonts w:asciiTheme="minorHAnsi" w:hAnsiTheme="minorHAnsi" w:cstheme="minorHAnsi"/>
          <w:b/>
          <w:bCs/>
          <w:color w:val="000000"/>
          <w:sz w:val="22"/>
          <w:szCs w:val="22"/>
          <w:highlight w:val="yellow"/>
          <w:u w:val="single"/>
        </w:rPr>
        <w:t>loses its</w:t>
      </w:r>
      <w:r w:rsidRPr="00B81E56">
        <w:rPr>
          <w:rFonts w:asciiTheme="minorHAnsi" w:hAnsiTheme="minorHAnsi" w:cstheme="minorHAnsi"/>
          <w:b/>
          <w:bCs/>
          <w:color w:val="000000"/>
          <w:sz w:val="22"/>
          <w:szCs w:val="22"/>
          <w:u w:val="single"/>
        </w:rPr>
        <w:t xml:space="preserve"> historically </w:t>
      </w:r>
      <w:r w:rsidRPr="0099755A">
        <w:rPr>
          <w:rFonts w:asciiTheme="minorHAnsi" w:hAnsiTheme="minorHAnsi" w:cstheme="minorHAnsi"/>
          <w:b/>
          <w:bCs/>
          <w:color w:val="000000"/>
          <w:sz w:val="22"/>
          <w:szCs w:val="22"/>
          <w:highlight w:val="yellow"/>
          <w:u w:val="single"/>
        </w:rPr>
        <w:t>progressive force and can</w:t>
      </w:r>
      <w:r w:rsidRPr="00B81E56">
        <w:rPr>
          <w:rFonts w:asciiTheme="minorHAnsi" w:hAnsiTheme="minorHAnsi" w:cstheme="minorHAnsi"/>
          <w:b/>
          <w:bCs/>
          <w:color w:val="000000"/>
          <w:sz w:val="22"/>
          <w:szCs w:val="22"/>
          <w:u w:val="single"/>
        </w:rPr>
        <w:t xml:space="preserve"> continue to </w:t>
      </w:r>
      <w:r w:rsidRPr="0099755A">
        <w:rPr>
          <w:rFonts w:asciiTheme="minorHAnsi" w:hAnsiTheme="minorHAnsi" w:cstheme="minorHAnsi"/>
          <w:b/>
          <w:bCs/>
          <w:color w:val="000000"/>
          <w:sz w:val="22"/>
          <w:szCs w:val="22"/>
          <w:highlight w:val="yellow"/>
          <w:u w:val="single"/>
        </w:rPr>
        <w:t>exist only through</w:t>
      </w:r>
      <w:r w:rsidRPr="00B81E56">
        <w:rPr>
          <w:rFonts w:asciiTheme="minorHAnsi" w:hAnsiTheme="minorHAnsi" w:cstheme="minorHAnsi"/>
          <w:b/>
          <w:bCs/>
          <w:color w:val="000000"/>
          <w:sz w:val="22"/>
          <w:szCs w:val="22"/>
          <w:u w:val="single"/>
        </w:rPr>
        <w:t xml:space="preserve"> direct </w:t>
      </w:r>
      <w:r w:rsidRPr="0099755A">
        <w:rPr>
          <w:rFonts w:asciiTheme="minorHAnsi" w:hAnsiTheme="minorHAnsi" w:cstheme="minorHAnsi"/>
          <w:b/>
          <w:bCs/>
          <w:color w:val="000000"/>
          <w:sz w:val="22"/>
          <w:szCs w:val="22"/>
          <w:highlight w:val="yellow"/>
          <w:u w:val="single"/>
        </w:rPr>
        <w:t>expropriation of externally produced value</w:t>
      </w:r>
      <w:r w:rsidRPr="00B81E56">
        <w:rPr>
          <w:rFonts w:asciiTheme="minorHAnsi" w:hAnsiTheme="minorHAnsi" w:cstheme="minorHAnsi"/>
          <w:color w:val="000000"/>
          <w:sz w:val="16"/>
          <w:szCs w:val="22"/>
        </w:rPr>
        <w:t xml:space="preserve"> – that is, through expropriation of the common (Negri, 2008d: 64–7). </w:t>
      </w:r>
      <w:r w:rsidRPr="00B81E56">
        <w:rPr>
          <w:rFonts w:asciiTheme="minorHAnsi" w:hAnsiTheme="minorHAnsi" w:cstheme="minorHAnsi"/>
          <w:color w:val="000000"/>
          <w:sz w:val="22"/>
          <w:szCs w:val="22"/>
          <w:u w:val="single"/>
        </w:rPr>
        <w:t>Immaterial production is structurally ‘incompatible’ with the logic of capital and therefore cognitive capitalism will ultimately destroy itself through its inherent contradictions.</w:t>
      </w:r>
      <w:r w:rsidRPr="00B81E56">
        <w:rPr>
          <w:rFonts w:asciiTheme="minorHAnsi" w:hAnsiTheme="minorHAnsi" w:cstheme="minorHAnsi"/>
          <w:color w:val="000000"/>
          <w:sz w:val="16"/>
          <w:szCs w:val="22"/>
        </w:rPr>
        <w:t xml:space="preserve"> Capitalism’s traditional </w:t>
      </w:r>
      <w:r w:rsidRPr="0099755A">
        <w:rPr>
          <w:rFonts w:asciiTheme="minorHAnsi" w:hAnsiTheme="minorHAnsi" w:cstheme="minorHAnsi"/>
          <w:b/>
          <w:bCs/>
          <w:color w:val="000000"/>
          <w:sz w:val="22"/>
          <w:szCs w:val="22"/>
          <w:highlight w:val="yellow"/>
          <w:u w:val="single"/>
        </w:rPr>
        <w:t>mechanisms of exploitation and control</w:t>
      </w:r>
      <w:r w:rsidRPr="00B81E56">
        <w:rPr>
          <w:rFonts w:asciiTheme="minorHAnsi" w:hAnsiTheme="minorHAnsi" w:cstheme="minorHAnsi"/>
          <w:b/>
          <w:bCs/>
          <w:color w:val="000000"/>
          <w:sz w:val="22"/>
          <w:szCs w:val="22"/>
          <w:u w:val="single"/>
        </w:rPr>
        <w:t xml:space="preserve">, both the intensive and extensive, increasingly contradict and </w:t>
      </w:r>
      <w:r w:rsidRPr="0099755A">
        <w:rPr>
          <w:rFonts w:asciiTheme="minorHAnsi" w:hAnsiTheme="minorHAnsi" w:cstheme="minorHAnsi"/>
          <w:b/>
          <w:bCs/>
          <w:color w:val="000000"/>
          <w:sz w:val="22"/>
          <w:szCs w:val="22"/>
          <w:highlight w:val="yellow"/>
          <w:u w:val="single"/>
        </w:rPr>
        <w:t>fetter</w:t>
      </w:r>
      <w:r w:rsidRPr="00B81E56">
        <w:rPr>
          <w:rFonts w:asciiTheme="minorHAnsi" w:hAnsiTheme="minorHAnsi" w:cstheme="minorHAnsi"/>
          <w:b/>
          <w:bCs/>
          <w:color w:val="000000"/>
          <w:sz w:val="22"/>
          <w:szCs w:val="22"/>
          <w:u w:val="single"/>
        </w:rPr>
        <w:t xml:space="preserve"> the </w:t>
      </w:r>
      <w:r w:rsidRPr="0099755A">
        <w:rPr>
          <w:rFonts w:asciiTheme="minorHAnsi" w:hAnsiTheme="minorHAnsi" w:cstheme="minorHAnsi"/>
          <w:b/>
          <w:bCs/>
          <w:color w:val="000000"/>
          <w:sz w:val="22"/>
          <w:szCs w:val="22"/>
          <w:highlight w:val="yellow"/>
          <w:u w:val="single"/>
        </w:rPr>
        <w:t>productivity</w:t>
      </w:r>
      <w:r w:rsidRPr="00B81E56">
        <w:rPr>
          <w:rFonts w:asciiTheme="minorHAnsi" w:hAnsiTheme="minorHAnsi" w:cstheme="minorHAnsi"/>
          <w:b/>
          <w:bCs/>
          <w:color w:val="000000"/>
          <w:sz w:val="22"/>
          <w:szCs w:val="22"/>
          <w:u w:val="single"/>
        </w:rPr>
        <w:t xml:space="preserve"> of biopolitical labour </w:t>
      </w:r>
      <w:r w:rsidRPr="0099755A">
        <w:rPr>
          <w:rFonts w:asciiTheme="minorHAnsi" w:hAnsiTheme="minorHAnsi" w:cstheme="minorHAnsi"/>
          <w:b/>
          <w:bCs/>
          <w:color w:val="000000"/>
          <w:sz w:val="22"/>
          <w:szCs w:val="22"/>
          <w:highlight w:val="yellow"/>
          <w:u w:val="single"/>
        </w:rPr>
        <w:t>and frustrate the creation of value.</w:t>
      </w:r>
      <w:r w:rsidRPr="00B81E56">
        <w:rPr>
          <w:rFonts w:asciiTheme="minorHAnsi" w:hAnsiTheme="minorHAnsi" w:cstheme="minorHAnsi"/>
          <w:color w:val="000000"/>
          <w:sz w:val="16"/>
          <w:szCs w:val="22"/>
        </w:rPr>
        <w:t xml:space="preserve"> Biopolitical labour in all its forms – cognitive, intellectual, affective, etc. – cannot be contained by the forms of discipline and command that were developed during the era of Fordism. Therefore, the </w:t>
      </w:r>
      <w:r w:rsidRPr="0099755A">
        <w:rPr>
          <w:rFonts w:asciiTheme="minorHAnsi" w:hAnsiTheme="minorHAnsi" w:cstheme="minorHAnsi"/>
          <w:b/>
          <w:bCs/>
          <w:color w:val="000000"/>
          <w:sz w:val="22"/>
          <w:szCs w:val="22"/>
          <w:highlight w:val="yellow"/>
          <w:u w:val="single"/>
        </w:rPr>
        <w:t>integration of labour within the ruling structures</w:t>
      </w:r>
      <w:r w:rsidRPr="00B81E56">
        <w:rPr>
          <w:rFonts w:asciiTheme="minorHAnsi" w:hAnsiTheme="minorHAnsi" w:cstheme="minorHAnsi"/>
          <w:b/>
          <w:bCs/>
          <w:color w:val="000000"/>
          <w:sz w:val="22"/>
          <w:szCs w:val="22"/>
          <w:u w:val="single"/>
        </w:rPr>
        <w:t xml:space="preserve"> of capital </w:t>
      </w:r>
      <w:r w:rsidRPr="0099755A">
        <w:rPr>
          <w:rFonts w:asciiTheme="minorHAnsi" w:hAnsiTheme="minorHAnsi" w:cstheme="minorHAnsi"/>
          <w:b/>
          <w:bCs/>
          <w:color w:val="000000"/>
          <w:sz w:val="22"/>
          <w:szCs w:val="22"/>
          <w:highlight w:val="yellow"/>
          <w:u w:val="single"/>
        </w:rPr>
        <w:t>becomes</w:t>
      </w:r>
      <w:r w:rsidRPr="00B81E56">
        <w:rPr>
          <w:rFonts w:asciiTheme="minorHAnsi" w:hAnsiTheme="minorHAnsi" w:cstheme="minorHAnsi"/>
          <w:b/>
          <w:bCs/>
          <w:color w:val="000000"/>
          <w:sz w:val="22"/>
          <w:szCs w:val="22"/>
          <w:u w:val="single"/>
        </w:rPr>
        <w:t xml:space="preserve"> increasingly </w:t>
      </w:r>
      <w:r w:rsidRPr="0099755A">
        <w:rPr>
          <w:rFonts w:asciiTheme="minorHAnsi" w:hAnsiTheme="minorHAnsi" w:cstheme="minorHAnsi"/>
          <w:b/>
          <w:bCs/>
          <w:color w:val="000000"/>
          <w:sz w:val="22"/>
          <w:szCs w:val="22"/>
          <w:highlight w:val="yellow"/>
          <w:u w:val="single"/>
        </w:rPr>
        <w:t>difficult</w:t>
      </w:r>
      <w:r w:rsidRPr="00B81E56">
        <w:rPr>
          <w:rFonts w:asciiTheme="minorHAnsi" w:hAnsiTheme="minorHAnsi" w:cstheme="minorHAnsi"/>
          <w:color w:val="000000"/>
          <w:sz w:val="16"/>
          <w:szCs w:val="22"/>
        </w:rPr>
        <w:t xml:space="preserve"> (Hardt &amp; Negri, 2009: 264, 291). Capital’s </w:t>
      </w:r>
      <w:r w:rsidRPr="0099755A">
        <w:rPr>
          <w:rFonts w:asciiTheme="minorHAnsi" w:hAnsiTheme="minorHAnsi" w:cstheme="minorHAnsi"/>
          <w:b/>
          <w:bCs/>
          <w:color w:val="000000"/>
          <w:sz w:val="22"/>
          <w:szCs w:val="22"/>
          <w:highlight w:val="yellow"/>
          <w:u w:val="single"/>
        </w:rPr>
        <w:t>strategies of privatisation</w:t>
      </w:r>
      <w:r w:rsidRPr="00B81E56">
        <w:rPr>
          <w:rFonts w:asciiTheme="minorHAnsi" w:hAnsiTheme="minorHAnsi" w:cstheme="minorHAnsi"/>
          <w:b/>
          <w:bCs/>
          <w:color w:val="000000"/>
          <w:sz w:val="22"/>
          <w:szCs w:val="22"/>
          <w:u w:val="single"/>
        </w:rPr>
        <w:t xml:space="preserve"> and control </w:t>
      </w:r>
      <w:r w:rsidRPr="0099755A">
        <w:rPr>
          <w:rFonts w:asciiTheme="minorHAnsi" w:hAnsiTheme="minorHAnsi" w:cstheme="minorHAnsi"/>
          <w:b/>
          <w:bCs/>
          <w:color w:val="000000"/>
          <w:sz w:val="22"/>
          <w:szCs w:val="22"/>
          <w:highlight w:val="yellow"/>
          <w:u w:val="single"/>
        </w:rPr>
        <w:t>destroy the common</w:t>
      </w:r>
      <w:r w:rsidRPr="00B81E56">
        <w:rPr>
          <w:rFonts w:asciiTheme="minorHAnsi" w:hAnsiTheme="minorHAnsi" w:cstheme="minorHAnsi"/>
          <w:b/>
          <w:bCs/>
          <w:color w:val="000000"/>
          <w:sz w:val="22"/>
          <w:szCs w:val="22"/>
          <w:u w:val="single"/>
        </w:rPr>
        <w:t xml:space="preserve"> that is at the base </w:t>
      </w:r>
      <w:r w:rsidRPr="0099755A">
        <w:rPr>
          <w:rFonts w:asciiTheme="minorHAnsi" w:hAnsiTheme="minorHAnsi" w:cstheme="minorHAnsi"/>
          <w:b/>
          <w:bCs/>
          <w:color w:val="000000"/>
          <w:sz w:val="22"/>
          <w:szCs w:val="22"/>
          <w:highlight w:val="yellow"/>
          <w:u w:val="single"/>
        </w:rPr>
        <w:t>of biopolitical production</w:t>
      </w:r>
      <w:r w:rsidRPr="00B81E56">
        <w:rPr>
          <w:rFonts w:asciiTheme="minorHAnsi" w:hAnsiTheme="minorHAnsi" w:cstheme="minorHAnsi"/>
          <w:color w:val="000000"/>
          <w:sz w:val="16"/>
          <w:szCs w:val="22"/>
        </w:rPr>
        <w:t xml:space="preserve">, so biopolitical productivity is hampered every time the common is destroyed. </w:t>
      </w:r>
      <w:r w:rsidRPr="00B81E56">
        <w:rPr>
          <w:rFonts w:asciiTheme="minorHAnsi" w:hAnsiTheme="minorHAnsi" w:cstheme="minorHAnsi"/>
          <w:color w:val="000000"/>
          <w:sz w:val="22"/>
          <w:szCs w:val="22"/>
          <w:u w:val="single"/>
        </w:rPr>
        <w:t>A good example is the impediment of innovation</w:t>
      </w:r>
      <w:r w:rsidRPr="00B81E56">
        <w:rPr>
          <w:rFonts w:asciiTheme="minorHAnsi" w:hAnsiTheme="minorHAnsi" w:cstheme="minorHAnsi"/>
          <w:color w:val="000000"/>
          <w:sz w:val="16"/>
          <w:szCs w:val="22"/>
        </w:rPr>
        <w:t xml:space="preserve"> Perspectives on Commoning 1st proof.indd 178 04/05/2017 16:16 The conditions of the common 179 in agriculture and biotechnology and the </w:t>
      </w:r>
      <w:r w:rsidRPr="0099755A">
        <w:rPr>
          <w:rFonts w:asciiTheme="minorHAnsi" w:hAnsiTheme="minorHAnsi" w:cstheme="minorHAnsi"/>
          <w:b/>
          <w:bCs/>
          <w:color w:val="000000"/>
          <w:sz w:val="22"/>
          <w:szCs w:val="22"/>
          <w:highlight w:val="yellow"/>
          <w:u w:val="single"/>
        </w:rPr>
        <w:t>blocking of</w:t>
      </w:r>
      <w:r w:rsidRPr="00B81E56">
        <w:rPr>
          <w:rFonts w:asciiTheme="minorHAnsi" w:hAnsiTheme="minorHAnsi" w:cstheme="minorHAnsi"/>
          <w:b/>
          <w:bCs/>
          <w:color w:val="000000"/>
          <w:sz w:val="22"/>
          <w:szCs w:val="22"/>
          <w:u w:val="single"/>
        </w:rPr>
        <w:t xml:space="preserve"> creativity in </w:t>
      </w:r>
      <w:r w:rsidRPr="0099755A">
        <w:rPr>
          <w:rFonts w:asciiTheme="minorHAnsi" w:hAnsiTheme="minorHAnsi" w:cstheme="minorHAnsi"/>
          <w:b/>
          <w:bCs/>
          <w:color w:val="000000"/>
          <w:sz w:val="22"/>
          <w:szCs w:val="22"/>
          <w:highlight w:val="yellow"/>
          <w:u w:val="single"/>
        </w:rPr>
        <w:t>cultural production due to excessive intellectual property regimes</w:t>
      </w:r>
      <w:r w:rsidRPr="00B81E56">
        <w:rPr>
          <w:rFonts w:asciiTheme="minorHAnsi" w:hAnsiTheme="minorHAnsi" w:cstheme="minorHAnsi"/>
          <w:color w:val="000000"/>
          <w:sz w:val="16"/>
          <w:szCs w:val="22"/>
        </w:rPr>
        <w:t xml:space="preserve"> in the form of patents and copyrights (see Drahos &amp; Braithwaite, 2002; Lessig, 2004; Aigrain, 2005; Jefferson, 2006; Boyle, 2008; Hope, 2008; Kloppenburg, 2010). The </w:t>
      </w:r>
      <w:r w:rsidRPr="0099755A">
        <w:rPr>
          <w:rFonts w:asciiTheme="minorHAnsi" w:hAnsiTheme="minorHAnsi" w:cstheme="minorHAnsi"/>
          <w:b/>
          <w:bCs/>
          <w:color w:val="000000"/>
          <w:sz w:val="22"/>
          <w:szCs w:val="22"/>
          <w:highlight w:val="yellow"/>
          <w:u w:val="single"/>
        </w:rPr>
        <w:t>disciplinary strategies</w:t>
      </w:r>
      <w:r w:rsidRPr="00B81E56">
        <w:rPr>
          <w:rFonts w:asciiTheme="minorHAnsi" w:hAnsiTheme="minorHAnsi" w:cstheme="minorHAnsi"/>
          <w:b/>
          <w:bCs/>
          <w:color w:val="000000"/>
          <w:sz w:val="22"/>
          <w:szCs w:val="22"/>
          <w:u w:val="single"/>
        </w:rPr>
        <w:t xml:space="preserve"> of precarisation of work and flexibilisation of the labour market </w:t>
      </w:r>
      <w:r w:rsidRPr="0099755A">
        <w:rPr>
          <w:rFonts w:asciiTheme="minorHAnsi" w:hAnsiTheme="minorHAnsi" w:cstheme="minorHAnsi"/>
          <w:b/>
          <w:bCs/>
          <w:color w:val="000000"/>
          <w:sz w:val="22"/>
          <w:szCs w:val="22"/>
          <w:highlight w:val="yellow"/>
          <w:u w:val="single"/>
        </w:rPr>
        <w:t>are</w:t>
      </w:r>
      <w:r w:rsidRPr="00B81E56">
        <w:rPr>
          <w:rFonts w:asciiTheme="minorHAnsi" w:hAnsiTheme="minorHAnsi" w:cstheme="minorHAnsi"/>
          <w:b/>
          <w:bCs/>
          <w:color w:val="000000"/>
          <w:sz w:val="22"/>
          <w:szCs w:val="22"/>
          <w:u w:val="single"/>
        </w:rPr>
        <w:t xml:space="preserve"> also </w:t>
      </w:r>
      <w:r w:rsidRPr="0099755A">
        <w:rPr>
          <w:rFonts w:asciiTheme="minorHAnsi" w:hAnsiTheme="minorHAnsi" w:cstheme="minorHAnsi"/>
          <w:b/>
          <w:bCs/>
          <w:color w:val="000000"/>
          <w:sz w:val="22"/>
          <w:szCs w:val="22"/>
          <w:highlight w:val="yellow"/>
          <w:u w:val="single"/>
        </w:rPr>
        <w:t>counterproductive, depriving</w:t>
      </w:r>
      <w:r w:rsidRPr="00B81E56">
        <w:rPr>
          <w:rFonts w:asciiTheme="minorHAnsi" w:hAnsiTheme="minorHAnsi" w:cstheme="minorHAnsi"/>
          <w:b/>
          <w:bCs/>
          <w:color w:val="000000"/>
          <w:sz w:val="22"/>
          <w:szCs w:val="22"/>
          <w:u w:val="single"/>
        </w:rPr>
        <w:t xml:space="preserve"> cognitive and </w:t>
      </w:r>
      <w:r w:rsidRPr="0099755A">
        <w:rPr>
          <w:rFonts w:asciiTheme="minorHAnsi" w:hAnsiTheme="minorHAnsi" w:cstheme="minorHAnsi"/>
          <w:b/>
          <w:bCs/>
          <w:color w:val="000000"/>
          <w:sz w:val="22"/>
          <w:szCs w:val="22"/>
          <w:highlight w:val="yellow"/>
          <w:u w:val="single"/>
        </w:rPr>
        <w:t>affective workers of</w:t>
      </w:r>
      <w:r w:rsidRPr="00B81E56">
        <w:rPr>
          <w:rFonts w:asciiTheme="minorHAnsi" w:hAnsiTheme="minorHAnsi" w:cstheme="minorHAnsi"/>
          <w:b/>
          <w:bCs/>
          <w:color w:val="000000"/>
          <w:sz w:val="22"/>
          <w:szCs w:val="22"/>
          <w:u w:val="single"/>
        </w:rPr>
        <w:t xml:space="preserve"> precisely the time and freedom on which the </w:t>
      </w:r>
      <w:r w:rsidRPr="0099755A">
        <w:rPr>
          <w:rFonts w:asciiTheme="minorHAnsi" w:hAnsiTheme="minorHAnsi" w:cstheme="minorHAnsi"/>
          <w:b/>
          <w:bCs/>
          <w:color w:val="000000"/>
          <w:sz w:val="22"/>
          <w:szCs w:val="22"/>
          <w:highlight w:val="yellow"/>
          <w:u w:val="single"/>
        </w:rPr>
        <w:t>creativity</w:t>
      </w:r>
      <w:r w:rsidRPr="00B81E56">
        <w:rPr>
          <w:rFonts w:asciiTheme="minorHAnsi" w:hAnsiTheme="minorHAnsi" w:cstheme="minorHAnsi"/>
          <w:color w:val="000000"/>
          <w:sz w:val="16"/>
          <w:szCs w:val="22"/>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B81E56">
        <w:rPr>
          <w:rFonts w:asciiTheme="minorHAnsi" w:hAnsiTheme="minorHAnsi" w:cstheme="minorHAnsi"/>
          <w:color w:val="000000"/>
          <w:sz w:val="22"/>
          <w:szCs w:val="22"/>
          <w:u w:val="single"/>
        </w:rPr>
        <w:t>the more it embarks on</w:t>
      </w:r>
      <w:r w:rsidRPr="00B81E56">
        <w:rPr>
          <w:rFonts w:asciiTheme="minorHAnsi" w:hAnsiTheme="minorHAnsi" w:cstheme="minorHAnsi"/>
          <w:color w:val="000000"/>
          <w:sz w:val="16"/>
          <w:szCs w:val="22"/>
        </w:rPr>
        <w:t xml:space="preserve"> the path of </w:t>
      </w:r>
      <w:r w:rsidRPr="00B81E56">
        <w:rPr>
          <w:rFonts w:asciiTheme="minorHAnsi" w:hAnsiTheme="minorHAnsi" w:cstheme="minorHAnsi"/>
          <w:color w:val="000000"/>
          <w:sz w:val="22"/>
          <w:szCs w:val="22"/>
          <w:u w:val="single"/>
        </w:rPr>
        <w:t>value creation</w:t>
      </w:r>
      <w:r w:rsidRPr="00B81E56">
        <w:rPr>
          <w:rFonts w:asciiTheme="minorHAnsi" w:hAnsiTheme="minorHAnsi" w:cstheme="minorHAnsi"/>
          <w:color w:val="000000"/>
          <w:sz w:val="16"/>
          <w:szCs w:val="22"/>
        </w:rPr>
        <w:t xml:space="preserve"> through knowledge production, </w:t>
      </w:r>
      <w:r w:rsidRPr="00B81E56">
        <w:rPr>
          <w:rFonts w:asciiTheme="minorHAnsi" w:hAnsiTheme="minorHAnsi" w:cstheme="minorHAnsi"/>
          <w:color w:val="000000"/>
          <w:sz w:val="22"/>
          <w:szCs w:val="22"/>
          <w:u w:val="single"/>
        </w:rPr>
        <w:t>the more</w:t>
      </w:r>
      <w:r w:rsidRPr="00B81E56">
        <w:rPr>
          <w:rFonts w:asciiTheme="minorHAnsi" w:hAnsiTheme="minorHAnsi" w:cstheme="minorHAnsi"/>
          <w:color w:val="000000"/>
          <w:sz w:val="16"/>
          <w:szCs w:val="22"/>
        </w:rPr>
        <w:t xml:space="preserve"> that </w:t>
      </w:r>
      <w:r w:rsidRPr="00B81E56">
        <w:rPr>
          <w:rFonts w:asciiTheme="minorHAnsi" w:hAnsiTheme="minorHAnsi" w:cstheme="minorHAnsi"/>
          <w:color w:val="000000"/>
          <w:sz w:val="22"/>
          <w:szCs w:val="22"/>
          <w:u w:val="single"/>
        </w:rPr>
        <w:t>knowledge escapes its control</w:t>
      </w:r>
      <w:r w:rsidRPr="00B81E56">
        <w:rPr>
          <w:rFonts w:asciiTheme="minorHAnsi" w:hAnsiTheme="minorHAnsi" w:cstheme="minorHAnsi"/>
          <w:color w:val="000000"/>
          <w:sz w:val="16"/>
          <w:szCs w:val="22"/>
        </w:rPr>
        <w:t xml:space="preserve"> and the more it produces and nourishes that which ultimately undermines its own existence: the common. Of course, as Hardt and Negri admit, ever since Marx uncovered the logic of capital, </w:t>
      </w:r>
      <w:r w:rsidRPr="00B81E56">
        <w:rPr>
          <w:rFonts w:asciiTheme="minorHAnsi" w:hAnsiTheme="minorHAnsi" w:cstheme="minorHAnsi"/>
          <w:color w:val="000000"/>
          <w:sz w:val="22"/>
          <w:szCs w:val="22"/>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sidRPr="00B81E56">
        <w:rPr>
          <w:rFonts w:asciiTheme="minorHAnsi" w:hAnsiTheme="minorHAnsi" w:cstheme="minorHAnsi"/>
          <w:color w:val="000000"/>
          <w:sz w:val="16"/>
          <w:szCs w:val="22"/>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Indeed, </w:t>
      </w:r>
      <w:r w:rsidRPr="00B81E56">
        <w:rPr>
          <w:rFonts w:asciiTheme="minorHAnsi" w:hAnsiTheme="minorHAnsi" w:cstheme="minorHAnsi"/>
          <w:color w:val="000000"/>
          <w:sz w:val="22"/>
          <w:szCs w:val="22"/>
          <w:u w:val="single"/>
        </w:rPr>
        <w:t>capital today is ‘facing increasingly autonomous, antagonistic, and unmanageable forms of social labor-power’ which embody an inherent potential for autonomy and have the capacity to ‘destroy capital and create something entirely new’</w:t>
      </w:r>
      <w:r w:rsidRPr="00B81E56">
        <w:rPr>
          <w:rFonts w:asciiTheme="minorHAnsi" w:hAnsiTheme="minorHAnsi" w:cstheme="minorHAnsi"/>
          <w:color w:val="000000"/>
          <w:sz w:val="16"/>
          <w:szCs w:val="22"/>
        </w:rPr>
        <w:t xml:space="preserve"> (Hardt &amp; Negri, 2009: 136, 288, 311).</w:t>
      </w:r>
    </w:p>
    <w:p w14:paraId="795D242C" w14:textId="77777777" w:rsidR="00642410" w:rsidRDefault="00642410" w:rsidP="00642410">
      <w:pPr>
        <w:pStyle w:val="Heading4"/>
      </w:pPr>
    </w:p>
    <w:p w14:paraId="0541B22F" w14:textId="77777777" w:rsidR="00642410" w:rsidRPr="00B81E56" w:rsidRDefault="00642410" w:rsidP="00642410">
      <w:pPr>
        <w:pStyle w:val="Heading4"/>
        <w:rPr>
          <w:rFonts w:asciiTheme="minorHAnsi" w:hAnsiTheme="minorHAnsi" w:cstheme="minorHAnsi"/>
        </w:rPr>
      </w:pPr>
      <w:r w:rsidRPr="00B81E56">
        <w:rPr>
          <w:rFonts w:asciiTheme="minorHAnsi" w:hAnsiTheme="minorHAnsi" w:cstheme="minorHAnsi"/>
        </w:rPr>
        <w:t xml:space="preserve">Intellectual property regimes </w:t>
      </w:r>
      <w:r w:rsidRPr="00B81E56">
        <w:rPr>
          <w:rFonts w:asciiTheme="minorHAnsi" w:hAnsiTheme="minorHAnsi" w:cstheme="minorHAnsi"/>
          <w:u w:val="single"/>
        </w:rPr>
        <w:t>biologically</w:t>
      </w:r>
      <w:r w:rsidRPr="00B81E56">
        <w:rPr>
          <w:rFonts w:asciiTheme="minorHAnsi" w:hAnsiTheme="minorHAnsi" w:cstheme="minorHAnsi"/>
        </w:rPr>
        <w:t xml:space="preserve"> regulate affective </w:t>
      </w:r>
      <w:r w:rsidRPr="00B81E56">
        <w:rPr>
          <w:rFonts w:asciiTheme="minorHAnsi" w:hAnsiTheme="minorHAnsi" w:cstheme="minorHAnsi"/>
          <w:u w:val="single"/>
        </w:rPr>
        <w:t>expression</w:t>
      </w:r>
      <w:r w:rsidRPr="00B81E56">
        <w:rPr>
          <w:rFonts w:asciiTheme="minorHAnsi" w:hAnsiTheme="minorHAnsi" w:cstheme="minorHAnsi"/>
        </w:rPr>
        <w:t xml:space="preserve"> and force the subject into </w:t>
      </w:r>
      <w:r w:rsidRPr="00B81E56">
        <w:rPr>
          <w:rFonts w:asciiTheme="minorHAnsi" w:hAnsiTheme="minorHAnsi" w:cstheme="minorHAnsi"/>
          <w:u w:val="single"/>
        </w:rPr>
        <w:t>binary</w:t>
      </w:r>
      <w:r w:rsidRPr="00B81E56">
        <w:rPr>
          <w:rFonts w:asciiTheme="minorHAnsi" w:hAnsiTheme="minorHAnsi" w:cstheme="minorHAnsi"/>
        </w:rPr>
        <w:t xml:space="preserve">, mechanical, </w:t>
      </w:r>
      <w:r w:rsidRPr="00B81E56">
        <w:rPr>
          <w:rFonts w:asciiTheme="minorHAnsi" w:hAnsiTheme="minorHAnsi" w:cstheme="minorHAnsi"/>
          <w:u w:val="single"/>
        </w:rPr>
        <w:t>categories</w:t>
      </w:r>
      <w:r w:rsidRPr="00B81E56">
        <w:rPr>
          <w:rFonts w:asciiTheme="minorHAnsi" w:hAnsiTheme="minorHAnsi" w:cstheme="minorHAnsi"/>
        </w:rPr>
        <w:t xml:space="preserve"> which staticize creative desires.</w:t>
      </w:r>
    </w:p>
    <w:p w14:paraId="445D74D7" w14:textId="77777777" w:rsidR="00642410" w:rsidRPr="00B81E56" w:rsidRDefault="00642410" w:rsidP="00642410">
      <w:pPr>
        <w:rPr>
          <w:rFonts w:asciiTheme="minorHAnsi" w:hAnsiTheme="minorHAnsi" w:cstheme="minorHAnsi"/>
        </w:rPr>
      </w:pPr>
      <w:r w:rsidRPr="00B81E56">
        <w:rPr>
          <w:rFonts w:asciiTheme="minorHAnsi" w:eastAsiaTheme="majorEastAsia" w:hAnsiTheme="minorHAnsi" w:cstheme="minorHAnsi"/>
          <w:b/>
          <w:iCs/>
          <w:sz w:val="26"/>
        </w:rPr>
        <w:t>Lefebvre</w:t>
      </w:r>
      <w:r w:rsidRPr="00B81E56">
        <w:rPr>
          <w:rFonts w:asciiTheme="minorHAnsi" w:hAnsiTheme="minorHAnsi" w:cstheme="minorHAnsi"/>
        </w:rPr>
        <w:t xml:space="preserve"> – Lefebvre, A. (2009). In The image of law: Deleuze, BERGSON, SPINOZA. essay, Stanford University Press. Body extension and the law: Medical devices, intellectual property, prosthetics and marginalisation (again)</w:t>
      </w:r>
      <w:r>
        <w:rPr>
          <w:rFonts w:asciiTheme="minorHAnsi" w:hAnsiTheme="minorHAnsi" w:cstheme="minorHAnsi"/>
        </w:rPr>
        <w:t xml:space="preserve"> [</w:t>
      </w:r>
      <w:r w:rsidRPr="00000ED7">
        <w:rPr>
          <w:rFonts w:asciiTheme="minorHAnsi" w:hAnsiTheme="minorHAnsi" w:cstheme="minorHAnsi"/>
        </w:rPr>
        <w:t>https://www.sup.org/books/title/?id=16341</w:t>
      </w:r>
      <w:r>
        <w:rPr>
          <w:rFonts w:asciiTheme="minorHAnsi" w:hAnsiTheme="minorHAnsi" w:cstheme="minorHAnsi"/>
        </w:rPr>
        <w:t>]</w:t>
      </w:r>
    </w:p>
    <w:p w14:paraId="505825AF" w14:textId="77777777" w:rsidR="00642410" w:rsidRPr="00B81E56" w:rsidRDefault="00642410" w:rsidP="00642410">
      <w:pPr>
        <w:rPr>
          <w:rFonts w:asciiTheme="minorHAnsi" w:hAnsiTheme="minorHAnsi" w:cstheme="minorHAnsi"/>
          <w:b/>
          <w:bCs/>
          <w:u w:val="single"/>
        </w:rPr>
      </w:pPr>
      <w:r w:rsidRPr="00B81E56">
        <w:rPr>
          <w:rFonts w:asciiTheme="minorHAnsi" w:hAnsiTheme="minorHAnsi" w:cstheme="minorHAnsi"/>
          <w:sz w:val="16"/>
        </w:rPr>
        <w:t xml:space="preserve">A central claim of the information-commons movement has been precisely to emphasize the </w:t>
      </w:r>
      <w:r w:rsidRPr="0099755A">
        <w:rPr>
          <w:rFonts w:asciiTheme="minorHAnsi" w:hAnsiTheme="minorHAnsi" w:cstheme="minorHAnsi"/>
          <w:b/>
          <w:bCs/>
          <w:highlight w:val="yellow"/>
          <w:u w:val="single"/>
        </w:rPr>
        <w:t>regulatory nature of</w:t>
      </w:r>
      <w:r w:rsidRPr="00B81E56">
        <w:rPr>
          <w:rFonts w:asciiTheme="minorHAnsi" w:hAnsiTheme="minorHAnsi" w:cstheme="minorHAnsi"/>
          <w:b/>
          <w:bCs/>
          <w:u w:val="single"/>
        </w:rPr>
        <w:t xml:space="preserve"> exclusive rights regimes, resisting and undermining the move to unthinking application of the “</w:t>
      </w:r>
      <w:r w:rsidRPr="0099755A">
        <w:rPr>
          <w:rFonts w:asciiTheme="minorHAnsi" w:hAnsiTheme="minorHAnsi" w:cstheme="minorHAnsi"/>
          <w:b/>
          <w:bCs/>
          <w:highlight w:val="yellow"/>
          <w:u w:val="single"/>
        </w:rPr>
        <w:t>intellectual property</w:t>
      </w:r>
      <w:r w:rsidRPr="00B81E56">
        <w:rPr>
          <w:rFonts w:asciiTheme="minorHAnsi" w:hAnsiTheme="minorHAnsi" w:cstheme="minorHAnsi"/>
          <w:b/>
          <w:bCs/>
          <w:u w:val="single"/>
        </w:rPr>
        <w:t xml:space="preserve">” label. In other words, the state has a model of how software development goes (or encyclopedia writing, or video entertainment, in the case of copyright and paracopyright), and it is intervening in what seems to be a perfectly functional innovation system, </w:t>
      </w:r>
      <w:r w:rsidRPr="0099755A">
        <w:rPr>
          <w:rFonts w:asciiTheme="minorHAnsi" w:hAnsiTheme="minorHAnsi" w:cstheme="minorHAnsi"/>
          <w:b/>
          <w:bCs/>
          <w:highlight w:val="yellow"/>
          <w:u w:val="single"/>
        </w:rPr>
        <w:t>impos</w:t>
      </w:r>
      <w:r w:rsidRPr="00B81E56">
        <w:rPr>
          <w:rFonts w:asciiTheme="minorHAnsi" w:hAnsiTheme="minorHAnsi" w:cstheme="minorHAnsi"/>
          <w:b/>
          <w:bCs/>
          <w:u w:val="single"/>
        </w:rPr>
        <w:t xml:space="preserve">ing </w:t>
      </w:r>
      <w:r w:rsidRPr="0099755A">
        <w:rPr>
          <w:rFonts w:asciiTheme="minorHAnsi" w:hAnsiTheme="minorHAnsi" w:cstheme="minorHAnsi"/>
          <w:b/>
          <w:bCs/>
          <w:highlight w:val="yellow"/>
          <w:u w:val="single"/>
        </w:rPr>
        <w:t>new rules that</w:t>
      </w:r>
      <w:r w:rsidRPr="00B81E56">
        <w:rPr>
          <w:rFonts w:asciiTheme="minorHAnsi" w:hAnsiTheme="minorHAnsi" w:cstheme="minorHAnsi"/>
          <w:b/>
          <w:bCs/>
          <w:u w:val="single"/>
        </w:rPr>
        <w:t xml:space="preserve"> are </w:t>
      </w:r>
      <w:r w:rsidRPr="0099755A">
        <w:rPr>
          <w:rFonts w:asciiTheme="minorHAnsi" w:hAnsiTheme="minorHAnsi" w:cstheme="minorHAnsi"/>
          <w:b/>
          <w:bCs/>
          <w:highlight w:val="yellow"/>
          <w:u w:val="single"/>
        </w:rPr>
        <w:t>upset</w:t>
      </w:r>
      <w:r w:rsidRPr="00B81E56">
        <w:rPr>
          <w:rFonts w:asciiTheme="minorHAnsi" w:hAnsiTheme="minorHAnsi" w:cstheme="minorHAnsi"/>
          <w:b/>
          <w:bCs/>
          <w:u w:val="single"/>
        </w:rPr>
        <w:t xml:space="preserve">ting a whole set </w:t>
      </w:r>
      <w:r w:rsidRPr="0099755A">
        <w:rPr>
          <w:rFonts w:asciiTheme="minorHAnsi" w:hAnsiTheme="minorHAnsi" w:cstheme="minorHAnsi"/>
          <w:b/>
          <w:bCs/>
          <w:highlight w:val="yellow"/>
          <w:u w:val="single"/>
        </w:rPr>
        <w:t>of freely chosen</w:t>
      </w:r>
      <w:r w:rsidRPr="00B81E56">
        <w:rPr>
          <w:rFonts w:asciiTheme="minorHAnsi" w:hAnsiTheme="minorHAnsi" w:cstheme="minorHAnsi"/>
          <w:sz w:val="16"/>
        </w:rPr>
        <w:t xml:space="preserve"> business </w:t>
      </w:r>
      <w:r w:rsidRPr="0099755A">
        <w:rPr>
          <w:rFonts w:asciiTheme="minorHAnsi" w:hAnsiTheme="minorHAnsi" w:cstheme="minorHAnsi"/>
          <w:b/>
          <w:bCs/>
          <w:highlight w:val="yellow"/>
          <w:u w:val="single"/>
        </w:rPr>
        <w:t>practices</w:t>
      </w:r>
      <w:r w:rsidRPr="00B81E56">
        <w:rPr>
          <w:rFonts w:asciiTheme="minorHAnsi" w:hAnsiTheme="minorHAnsi" w:cstheme="minorHAnsi"/>
          <w:sz w:val="16"/>
        </w:rPr>
        <w:t xml:space="preserve"> already in place. Needless to say, this is not the only way to view what is happening, but it is a sufficiently plausible characterization that many libertarians and laissez-faire liberals in fact understand what is happening in these terms. </w:t>
      </w:r>
      <w:r w:rsidRPr="00B81E56">
        <w:rPr>
          <w:rFonts w:asciiTheme="minorHAnsi" w:hAnsiTheme="minorHAnsi" w:cstheme="minorHAnsi"/>
          <w:u w:val="single"/>
        </w:rPr>
        <w:t>The rhetorical foundation of the “open-source software” movement was precisely to frame the practice in these terms of free choice, innovation, and business benefits</w:t>
      </w:r>
      <w:r w:rsidRPr="00B81E56">
        <w:rPr>
          <w:rFonts w:asciiTheme="minorHAnsi" w:hAnsiTheme="minorHAnsi" w:cstheme="minorHAnsi"/>
          <w:sz w:val="16"/>
        </w:rPr>
        <w:t xml:space="preserve">. </w:t>
      </w:r>
      <w:r w:rsidRPr="00B81E56">
        <w:rPr>
          <w:rFonts w:asciiTheme="minorHAnsi" w:hAnsiTheme="minorHAnsi" w:cstheme="minorHAnsi"/>
          <w:b/>
          <w:bCs/>
          <w:u w:val="single"/>
        </w:rPr>
        <w:t>Because individual human beings are a complex bundle of urges, emotions, and motivations who often act irrationally</w:t>
      </w:r>
      <w:r w:rsidRPr="00B81E56">
        <w:rPr>
          <w:rFonts w:asciiTheme="minorHAnsi" w:hAnsiTheme="minorHAnsi" w:cstheme="minorHAnsi"/>
          <w:sz w:val="16"/>
        </w:rPr>
        <w:t xml:space="preserve"> (that is, regardless of self-interest) from an economist’s perspective, corporations are the ideal economic agents, pursuing nothing but maximum gain for themselves based on the economic theory of laissez-faire capitalism.26 They are therefore driven to undermine abundance and create artificial scarcity as an unintended, but logical consequence of their internal programming, creating a modern class of rentiers who accumulate wealth by charging fees for access to the resources they control. This </w:t>
      </w:r>
      <w:r w:rsidRPr="0099755A">
        <w:rPr>
          <w:rFonts w:asciiTheme="minorHAnsi" w:hAnsiTheme="minorHAnsi" w:cstheme="minorHAnsi"/>
          <w:b/>
          <w:bCs/>
          <w:highlight w:val="yellow"/>
          <w:u w:val="single"/>
        </w:rPr>
        <w:t>regulatory regime</w:t>
      </w:r>
      <w:r w:rsidRPr="00B81E56">
        <w:rPr>
          <w:rFonts w:asciiTheme="minorHAnsi" w:hAnsiTheme="minorHAnsi" w:cstheme="minorHAnsi"/>
          <w:b/>
          <w:bCs/>
          <w:u w:val="single"/>
        </w:rPr>
        <w:t xml:space="preserve">, at its extremes, can </w:t>
      </w:r>
      <w:r w:rsidRPr="0099755A">
        <w:rPr>
          <w:rFonts w:asciiTheme="minorHAnsi" w:hAnsiTheme="minorHAnsi" w:cstheme="minorHAnsi"/>
          <w:b/>
          <w:bCs/>
          <w:highlight w:val="yellow"/>
          <w:u w:val="single"/>
        </w:rPr>
        <w:t>lead to the non-user having the power</w:t>
      </w:r>
      <w:r w:rsidRPr="00B81E56">
        <w:rPr>
          <w:rFonts w:asciiTheme="minorHAnsi" w:hAnsiTheme="minorHAnsi" w:cstheme="minorHAnsi"/>
          <w:b/>
          <w:bCs/>
          <w:u w:val="single"/>
        </w:rPr>
        <w:t xml:space="preserve"> (and the responsibility) </w:t>
      </w:r>
      <w:r w:rsidRPr="0099755A">
        <w:rPr>
          <w:rFonts w:asciiTheme="minorHAnsi" w:hAnsiTheme="minorHAnsi" w:cstheme="minorHAnsi"/>
          <w:b/>
          <w:bCs/>
          <w:highlight w:val="yellow"/>
          <w:u w:val="single"/>
        </w:rPr>
        <w:t>to make decisions about functionality without any regard to</w:t>
      </w:r>
      <w:r w:rsidRPr="00B81E56">
        <w:rPr>
          <w:rFonts w:asciiTheme="minorHAnsi" w:hAnsiTheme="minorHAnsi" w:cstheme="minorHAnsi"/>
          <w:b/>
          <w:bCs/>
          <w:u w:val="single"/>
        </w:rPr>
        <w:t xml:space="preserve"> the </w:t>
      </w:r>
      <w:r w:rsidRPr="0099755A">
        <w:rPr>
          <w:rFonts w:asciiTheme="minorHAnsi" w:hAnsiTheme="minorHAnsi" w:cstheme="minorHAnsi"/>
          <w:b/>
          <w:bCs/>
          <w:highlight w:val="yellow"/>
          <w:u w:val="single"/>
        </w:rPr>
        <w:t>aspirations of the user</w:t>
      </w:r>
      <w:r w:rsidRPr="00B81E56">
        <w:rPr>
          <w:rFonts w:asciiTheme="minorHAnsi" w:hAnsiTheme="minorHAnsi" w:cstheme="minorHAnsi"/>
          <w:b/>
          <w:bCs/>
          <w:u w:val="single"/>
        </w:rPr>
        <w:t xml:space="preserve"> in this respect or indeed regarding more aesthetic matters. </w:t>
      </w:r>
      <w:r w:rsidRPr="0099755A">
        <w:rPr>
          <w:rFonts w:asciiTheme="minorHAnsi" w:hAnsiTheme="minorHAnsi" w:cstheme="minorHAnsi"/>
          <w:b/>
          <w:bCs/>
          <w:highlight w:val="yellow"/>
          <w:u w:val="single"/>
        </w:rPr>
        <w:t>This will have an impact on</w:t>
      </w:r>
      <w:r w:rsidRPr="00B81E56">
        <w:rPr>
          <w:rFonts w:asciiTheme="minorHAnsi" w:hAnsiTheme="minorHAnsi" w:cstheme="minorHAnsi"/>
          <w:b/>
          <w:bCs/>
          <w:u w:val="single"/>
        </w:rPr>
        <w:t xml:space="preserve"> identity - one which is so far unexplored in the existing discussion of </w:t>
      </w:r>
      <w:r w:rsidRPr="0099755A">
        <w:rPr>
          <w:rFonts w:asciiTheme="minorHAnsi" w:hAnsiTheme="minorHAnsi" w:cstheme="minorHAnsi"/>
          <w:b/>
          <w:bCs/>
          <w:highlight w:val="yellow"/>
          <w:u w:val="single"/>
        </w:rPr>
        <w:t>bodily autonomy</w:t>
      </w:r>
      <w:r w:rsidRPr="00B81E56">
        <w:rPr>
          <w:rFonts w:asciiTheme="minorHAnsi" w:hAnsiTheme="minorHAnsi" w:cstheme="minorHAnsi"/>
          <w:sz w:val="16"/>
        </w:rPr>
        <w:t xml:space="preserve">.87 And it is perhaps as a result of this marginalisation (with respect to design, function, performance, and many other relevant details) that more informal maker movements have arisen such as those discussed above. </w:t>
      </w:r>
      <w:r w:rsidRPr="00B81E56">
        <w:rPr>
          <w:rFonts w:asciiTheme="minorHAnsi" w:hAnsiTheme="minorHAnsi" w:cstheme="minorHAnsi"/>
          <w:u w:val="single"/>
        </w:rPr>
        <w:t>The EU Regulation can apply to any prosthesis, howsoever developed.</w:t>
      </w:r>
      <w:r w:rsidRPr="00B81E56">
        <w:rPr>
          <w:rFonts w:asciiTheme="minorHAnsi" w:hAnsiTheme="minorHAnsi" w:cstheme="minorHAnsi"/>
          <w:sz w:val="16"/>
        </w:rPr>
        <w:t xml:space="preserve"> Devices which are manufactured and used within health institutions, however, are considered as being ‘put into service’, 88 and are therefore exempt from many requirements of the EU Regulation, although they must still comply with general safety and performance requirements. There is a possibility, therefore, </w:t>
      </w:r>
      <w:r w:rsidRPr="00B81E56">
        <w:rPr>
          <w:rFonts w:asciiTheme="minorHAnsi" w:hAnsiTheme="minorHAnsi" w:cstheme="minorHAnsi"/>
          <w:b/>
          <w:bCs/>
          <w:u w:val="single"/>
        </w:rPr>
        <w:t xml:space="preserve">of IP law having a restrictive impact on choices made by and (largely) for prosthesis users. This increases when it is considered that </w:t>
      </w:r>
      <w:r w:rsidRPr="0099755A">
        <w:rPr>
          <w:rFonts w:asciiTheme="minorHAnsi" w:hAnsiTheme="minorHAnsi" w:cstheme="minorHAnsi"/>
          <w:b/>
          <w:bCs/>
          <w:highlight w:val="yellow"/>
          <w:u w:val="single"/>
        </w:rPr>
        <w:t>developers</w:t>
      </w:r>
      <w:r w:rsidRPr="00B81E56">
        <w:rPr>
          <w:rFonts w:asciiTheme="minorHAnsi" w:hAnsiTheme="minorHAnsi" w:cstheme="minorHAnsi"/>
          <w:b/>
          <w:bCs/>
          <w:u w:val="single"/>
        </w:rPr>
        <w:t xml:space="preserve"> of prosthetic limbs are indeed engaging with IP rights</w:t>
      </w:r>
      <w:r w:rsidRPr="00B81E56">
        <w:rPr>
          <w:rFonts w:asciiTheme="minorHAnsi" w:hAnsiTheme="minorHAnsi" w:cstheme="minorHAnsi"/>
          <w:sz w:val="16"/>
        </w:rPr>
        <w:t xml:space="preserve">. There are patents, for example US3908201A from 1972 for a prosthetic device made of a particular plastic material and cases involving patents for silicon foam for covering prostheses for implanting in the body;108 and there are registered designs, for example UK D462767 from 2001 for a slideable and rotatable coupler for a prosthetic leg. Copyright and unregistered designs cannot be evidenced in the same way (given their more informal nature of creation), </w:t>
      </w:r>
      <w:r w:rsidRPr="00B81E56">
        <w:rPr>
          <w:rFonts w:asciiTheme="minorHAnsi" w:hAnsiTheme="minorHAnsi" w:cstheme="minorHAnsi"/>
          <w:u w:val="single"/>
        </w:rPr>
        <w:t>however there are examples of infringement actions being raised</w:t>
      </w:r>
      <w:r w:rsidRPr="00B81E56">
        <w:rPr>
          <w:rFonts w:asciiTheme="minorHAnsi" w:hAnsiTheme="minorHAnsi" w:cstheme="minorHAnsi"/>
          <w:sz w:val="16"/>
        </w:rPr>
        <w:t xml:space="preserve">. Notably, a court rejected an argument109 that because of the so-called “must fit” provision in UK unregistered design law,110 there was no protection for the shape of a breast prosthesis. The court found that although the shape of the bra might influence the shape of the breast prosthesis, a bra shape did not determine the detail or circumstances of it – indeed, the prosthesis would fit several bras. The analysis of the legal and regulatory framework, and the results of the research interviews and Focus Groups, reveal that the </w:t>
      </w:r>
      <w:r w:rsidRPr="00B81E56">
        <w:rPr>
          <w:rFonts w:asciiTheme="minorHAnsi" w:hAnsiTheme="minorHAnsi" w:cstheme="minorHAnsi"/>
          <w:b/>
          <w:bCs/>
          <w:u w:val="single"/>
        </w:rPr>
        <w:t xml:space="preserve">power in </w:t>
      </w:r>
      <w:r w:rsidRPr="0099755A">
        <w:rPr>
          <w:rFonts w:asciiTheme="minorHAnsi" w:hAnsiTheme="minorHAnsi" w:cstheme="minorHAnsi"/>
          <w:b/>
          <w:bCs/>
          <w:highlight w:val="yellow"/>
          <w:u w:val="single"/>
        </w:rPr>
        <w:t>determin</w:t>
      </w:r>
      <w:r w:rsidRPr="00B81E56">
        <w:rPr>
          <w:rFonts w:asciiTheme="minorHAnsi" w:hAnsiTheme="minorHAnsi" w:cstheme="minorHAnsi"/>
          <w:b/>
          <w:bCs/>
          <w:u w:val="single"/>
        </w:rPr>
        <w:t>ing</w:t>
      </w:r>
      <w:r w:rsidRPr="0099755A">
        <w:rPr>
          <w:rFonts w:asciiTheme="minorHAnsi" w:hAnsiTheme="minorHAnsi" w:cstheme="minorHAnsi"/>
          <w:b/>
          <w:bCs/>
          <w:highlight w:val="yellow"/>
          <w:u w:val="single"/>
        </w:rPr>
        <w:t xml:space="preserve"> which</w:t>
      </w:r>
      <w:r w:rsidRPr="00B81E56">
        <w:rPr>
          <w:rFonts w:asciiTheme="minorHAnsi" w:hAnsiTheme="minorHAnsi" w:cstheme="minorHAnsi"/>
          <w:b/>
          <w:bCs/>
          <w:u w:val="single"/>
        </w:rPr>
        <w:t xml:space="preserve"> prosthetic limb </w:t>
      </w:r>
      <w:r w:rsidRPr="0099755A">
        <w:rPr>
          <w:rFonts w:asciiTheme="minorHAnsi" w:hAnsiTheme="minorHAnsi" w:cstheme="minorHAnsi"/>
          <w:b/>
          <w:bCs/>
          <w:highlight w:val="yellow"/>
          <w:u w:val="single"/>
        </w:rPr>
        <w:t>can be issued</w:t>
      </w:r>
      <w:r w:rsidRPr="00B81E56">
        <w:rPr>
          <w:rFonts w:asciiTheme="minorHAnsi" w:hAnsiTheme="minorHAnsi" w:cstheme="minorHAnsi"/>
          <w:b/>
          <w:bCs/>
          <w:u w:val="single"/>
        </w:rPr>
        <w:t xml:space="preserve"> and of what kind (e.g. a leg for rockclimbing), does not always involve the user; and that even if the desire is identified and supported, frequently insufficient budget has been allocated to fulfil it.</w:t>
      </w:r>
      <w:r w:rsidRPr="00B81E56">
        <w:rPr>
          <w:rFonts w:asciiTheme="minorHAnsi" w:hAnsiTheme="minorHAnsi" w:cstheme="minorHAnsi"/>
          <w:sz w:val="16"/>
        </w:rPr>
        <w:t xml:space="preserve"> A research interview also indicated that private fundraising (one way of addressing this outside the NHS) can be perceived by prosthetic users as leading to a prosthesis which belongs more to the donors – and is </w:t>
      </w:r>
      <w:r w:rsidRPr="00B81E56">
        <w:rPr>
          <w:rFonts w:asciiTheme="minorHAnsi" w:hAnsiTheme="minorHAnsi" w:cstheme="minorHAnsi"/>
          <w:b/>
          <w:bCs/>
          <w:u w:val="single"/>
        </w:rPr>
        <w:t>less aligned with the user’s identity and integrity</w:t>
      </w:r>
      <w:r w:rsidRPr="00B81E56">
        <w:rPr>
          <w:rFonts w:asciiTheme="minorHAnsi" w:hAnsiTheme="minorHAnsi" w:cstheme="minorHAnsi"/>
          <w:sz w:val="16"/>
        </w:rPr>
        <w:t xml:space="preserve">. Further, if notwithstanding this, a particular prosthesis is able to be allocated which supports identity and integrity (e.g. running, climbing, decoration) in some circumstances an IP owner can restrict or prevent this. And </w:t>
      </w:r>
      <w:r w:rsidRPr="00B81E56">
        <w:rPr>
          <w:rFonts w:asciiTheme="minorHAnsi" w:hAnsiTheme="minorHAnsi" w:cstheme="minorHAnsi"/>
          <w:b/>
          <w:bCs/>
          <w:u w:val="single"/>
        </w:rPr>
        <w:t xml:space="preserve">the identity/identities and integrity of the prosthetic user are not required to be relevant for those with authority and control in respect of these prosthetic related decisions; rather, there are obligations and restrictions under NHS funding rules and the EU Regulation, and rights held by others under IP legislation. </w:t>
      </w:r>
      <w:r w:rsidRPr="00B81E56">
        <w:rPr>
          <w:rFonts w:asciiTheme="minorHAnsi" w:hAnsiTheme="minorHAnsi" w:cstheme="minorHAnsi"/>
          <w:sz w:val="16"/>
        </w:rPr>
        <w:t>Like the physical states to which they are applied</w:t>
      </w:r>
      <w:r w:rsidRPr="00B81E56">
        <w:rPr>
          <w:rFonts w:asciiTheme="minorHAnsi" w:hAnsiTheme="minorHAnsi" w:cstheme="minorHAnsi"/>
          <w:u w:val="single"/>
        </w:rPr>
        <w:t xml:space="preserve">, </w:t>
      </w:r>
      <w:r w:rsidRPr="0099755A">
        <w:rPr>
          <w:rFonts w:asciiTheme="minorHAnsi" w:hAnsiTheme="minorHAnsi" w:cstheme="minorHAnsi"/>
          <w:b/>
          <w:bCs/>
          <w:highlight w:val="yellow"/>
          <w:u w:val="single"/>
        </w:rPr>
        <w:t>prosthetic limbs</w:t>
      </w:r>
      <w:r w:rsidRPr="00B81E56">
        <w:rPr>
          <w:rFonts w:asciiTheme="minorHAnsi" w:hAnsiTheme="minorHAnsi" w:cstheme="minorHAnsi"/>
          <w:b/>
          <w:bCs/>
          <w:u w:val="single"/>
        </w:rPr>
        <w:t xml:space="preserve"> can challenge our perception of what it means to be human, to be a person. They can </w:t>
      </w:r>
      <w:r w:rsidRPr="0099755A">
        <w:rPr>
          <w:rFonts w:asciiTheme="minorHAnsi" w:hAnsiTheme="minorHAnsi" w:cstheme="minorHAnsi"/>
          <w:b/>
          <w:bCs/>
          <w:highlight w:val="yellow"/>
          <w:u w:val="single"/>
        </w:rPr>
        <w:t>challenge</w:t>
      </w:r>
      <w:r w:rsidRPr="00B81E56">
        <w:rPr>
          <w:rFonts w:asciiTheme="minorHAnsi" w:hAnsiTheme="minorHAnsi" w:cstheme="minorHAnsi"/>
          <w:b/>
          <w:bCs/>
          <w:u w:val="single"/>
        </w:rPr>
        <w:t xml:space="preserve"> our symbolic order, or the </w:t>
      </w:r>
      <w:r w:rsidRPr="0099755A">
        <w:rPr>
          <w:rFonts w:asciiTheme="minorHAnsi" w:hAnsiTheme="minorHAnsi" w:cstheme="minorHAnsi"/>
          <w:b/>
          <w:bCs/>
          <w:highlight w:val="yellow"/>
          <w:u w:val="single"/>
        </w:rPr>
        <w:t>binary categories</w:t>
      </w:r>
      <w:r w:rsidRPr="00B81E56">
        <w:rPr>
          <w:rFonts w:asciiTheme="minorHAnsi" w:hAnsiTheme="minorHAnsi" w:cstheme="minorHAnsi"/>
          <w:b/>
          <w:bCs/>
          <w:u w:val="single"/>
        </w:rPr>
        <w:t xml:space="preserve"> and differentiations that we use to structure society</w:t>
      </w:r>
      <w:r w:rsidRPr="00B81E56">
        <w:rPr>
          <w:rFonts w:asciiTheme="minorHAnsi" w:hAnsiTheme="minorHAnsi" w:cstheme="minorHAnsi"/>
          <w:u w:val="single"/>
        </w:rPr>
        <w:t xml:space="preserve"> (such as nature/construct, human/non-human, self/other, friend/stranger)</w:t>
      </w:r>
      <w:r w:rsidRPr="00B81E56">
        <w:rPr>
          <w:rFonts w:asciiTheme="minorHAnsi" w:hAnsiTheme="minorHAnsi" w:cstheme="minorHAnsi"/>
          <w:sz w:val="16"/>
        </w:rPr>
        <w:t xml:space="preserve">.118 Indeed, they may offer new categories and measures, and new possibilities and capabilities. Yet </w:t>
      </w:r>
      <w:r w:rsidRPr="0099755A">
        <w:rPr>
          <w:rFonts w:asciiTheme="minorHAnsi" w:hAnsiTheme="minorHAnsi" w:cstheme="minorHAnsi"/>
          <w:b/>
          <w:bCs/>
          <w:highlight w:val="yellow"/>
          <w:u w:val="single"/>
        </w:rPr>
        <w:t>their allocation</w:t>
      </w:r>
      <w:r w:rsidRPr="00B81E56">
        <w:rPr>
          <w:rFonts w:asciiTheme="minorHAnsi" w:hAnsiTheme="minorHAnsi" w:cstheme="minorHAnsi"/>
          <w:b/>
          <w:bCs/>
          <w:u w:val="single"/>
        </w:rPr>
        <w:t xml:space="preserve"> and usage are </w:t>
      </w:r>
      <w:r w:rsidRPr="0099755A">
        <w:rPr>
          <w:rFonts w:asciiTheme="minorHAnsi" w:hAnsiTheme="minorHAnsi" w:cstheme="minorHAnsi"/>
          <w:b/>
          <w:bCs/>
          <w:highlight w:val="yellow"/>
          <w:u w:val="single"/>
        </w:rPr>
        <w:t>characterised by</w:t>
      </w:r>
      <w:r w:rsidRPr="00B81E56">
        <w:rPr>
          <w:rFonts w:asciiTheme="minorHAnsi" w:hAnsiTheme="minorHAnsi" w:cstheme="minorHAnsi"/>
          <w:b/>
          <w:bCs/>
          <w:u w:val="single"/>
        </w:rPr>
        <w:t xml:space="preserve"> social, </w:t>
      </w:r>
      <w:r w:rsidRPr="0099755A">
        <w:rPr>
          <w:rFonts w:asciiTheme="minorHAnsi" w:hAnsiTheme="minorHAnsi" w:cstheme="minorHAnsi"/>
          <w:b/>
          <w:bCs/>
          <w:highlight w:val="yellow"/>
          <w:u w:val="single"/>
        </w:rPr>
        <w:t>legal</w:t>
      </w:r>
      <w:r w:rsidRPr="00B81E56">
        <w:rPr>
          <w:rFonts w:asciiTheme="minorHAnsi" w:hAnsiTheme="minorHAnsi" w:cstheme="minorHAnsi"/>
          <w:b/>
          <w:bCs/>
          <w:u w:val="single"/>
        </w:rPr>
        <w:t xml:space="preserve"> and ethical debates around risk, </w:t>
      </w:r>
      <w:r w:rsidRPr="0099755A">
        <w:rPr>
          <w:rFonts w:asciiTheme="minorHAnsi" w:hAnsiTheme="minorHAnsi" w:cstheme="minorHAnsi"/>
          <w:b/>
          <w:bCs/>
          <w:highlight w:val="yellow"/>
          <w:u w:val="single"/>
        </w:rPr>
        <w:t>boundaries</w:t>
      </w:r>
      <w:r w:rsidRPr="00B81E56">
        <w:rPr>
          <w:rFonts w:asciiTheme="minorHAnsi" w:hAnsiTheme="minorHAnsi" w:cstheme="minorHAnsi"/>
          <w:b/>
          <w:bCs/>
          <w:u w:val="single"/>
        </w:rPr>
        <w:t xml:space="preserve">, and power. The result is often a collage, or indeed a cacophony, rather than a consensus of values, visions, and decision-making models associated with specific interventions or technologies. 119 And all of this is </w:t>
      </w:r>
      <w:r w:rsidRPr="0099755A">
        <w:rPr>
          <w:rFonts w:asciiTheme="minorHAnsi" w:hAnsiTheme="minorHAnsi" w:cstheme="minorHAnsi"/>
          <w:b/>
          <w:bCs/>
          <w:highlight w:val="yellow"/>
          <w:u w:val="single"/>
        </w:rPr>
        <w:t>positioned against a legal landscape which fails to engage</w:t>
      </w:r>
      <w:r w:rsidRPr="00B81E56">
        <w:rPr>
          <w:rFonts w:asciiTheme="minorHAnsi" w:hAnsiTheme="minorHAnsi" w:cstheme="minorHAnsi"/>
          <w:b/>
          <w:bCs/>
          <w:u w:val="single"/>
        </w:rPr>
        <w:t xml:space="preserve"> (at least sufficiently) </w:t>
      </w:r>
      <w:r w:rsidRPr="0099755A">
        <w:rPr>
          <w:rFonts w:asciiTheme="minorHAnsi" w:hAnsiTheme="minorHAnsi" w:cstheme="minorHAnsi"/>
          <w:b/>
          <w:bCs/>
          <w:highlight w:val="yellow"/>
          <w:u w:val="single"/>
        </w:rPr>
        <w:t>with</w:t>
      </w:r>
      <w:r w:rsidRPr="00B81E56">
        <w:rPr>
          <w:rFonts w:asciiTheme="minorHAnsi" w:hAnsiTheme="minorHAnsi" w:cstheme="minorHAnsi"/>
          <w:b/>
          <w:bCs/>
          <w:u w:val="single"/>
        </w:rPr>
        <w:t xml:space="preserve"> the person, and the concepts of </w:t>
      </w:r>
      <w:r w:rsidRPr="0099755A">
        <w:rPr>
          <w:rFonts w:asciiTheme="minorHAnsi" w:hAnsiTheme="minorHAnsi" w:cstheme="minorHAnsi"/>
          <w:b/>
          <w:bCs/>
          <w:highlight w:val="yellow"/>
          <w:u w:val="single"/>
        </w:rPr>
        <w:t>identity</w:t>
      </w:r>
      <w:r w:rsidRPr="00B81E56">
        <w:rPr>
          <w:rFonts w:asciiTheme="minorHAnsi" w:hAnsiTheme="minorHAnsi" w:cstheme="minorHAnsi"/>
          <w:b/>
          <w:bCs/>
          <w:u w:val="single"/>
        </w:rPr>
        <w:t xml:space="preserve"> and integrity.</w:t>
      </w:r>
    </w:p>
    <w:p w14:paraId="60AA92A6" w14:textId="77777777" w:rsidR="00642410" w:rsidRPr="00463BF2" w:rsidRDefault="00642410" w:rsidP="00642410"/>
    <w:p w14:paraId="3EB639E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24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410"/>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A229A6"/>
  <w14:defaultImageDpi w14:val="300"/>
  <w15:docId w15:val="{35E9D2C0-97F3-EC4F-B74A-100722E9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241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24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24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24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6424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24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2410"/>
  </w:style>
  <w:style w:type="character" w:customStyle="1" w:styleId="Heading1Char">
    <w:name w:val="Heading 1 Char"/>
    <w:aliases w:val="Pocket Char"/>
    <w:basedOn w:val="DefaultParagraphFont"/>
    <w:link w:val="Heading1"/>
    <w:uiPriority w:val="9"/>
    <w:rsid w:val="006424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24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241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6424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2410"/>
    <w:rPr>
      <w:b/>
      <w:sz w:val="26"/>
      <w:u w:val="none"/>
    </w:rPr>
  </w:style>
  <w:style w:type="character" w:customStyle="1" w:styleId="StyleUnderline">
    <w:name w:val="Style Underline"/>
    <w:aliases w:val="Underline"/>
    <w:basedOn w:val="DefaultParagraphFont"/>
    <w:uiPriority w:val="1"/>
    <w:qFormat/>
    <w:rsid w:val="00642410"/>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64241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42410"/>
    <w:rPr>
      <w:color w:val="auto"/>
      <w:u w:val="none"/>
    </w:rPr>
  </w:style>
  <w:style w:type="character" w:styleId="Hyperlink">
    <w:name w:val="Hyperlink"/>
    <w:basedOn w:val="DefaultParagraphFont"/>
    <w:uiPriority w:val="99"/>
    <w:semiHidden/>
    <w:unhideWhenUsed/>
    <w:rsid w:val="00642410"/>
    <w:rPr>
      <w:color w:val="auto"/>
      <w:u w:val="none"/>
    </w:rPr>
  </w:style>
  <w:style w:type="paragraph" w:styleId="DocumentMap">
    <w:name w:val="Document Map"/>
    <w:basedOn w:val="Normal"/>
    <w:link w:val="DocumentMapChar"/>
    <w:uiPriority w:val="99"/>
    <w:semiHidden/>
    <w:unhideWhenUsed/>
    <w:rsid w:val="006424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2410"/>
    <w:rPr>
      <w:rFonts w:ascii="Lucida Grande" w:hAnsi="Lucida Grande" w:cs="Lucida Grande"/>
    </w:rPr>
  </w:style>
  <w:style w:type="paragraph" w:customStyle="1" w:styleId="Emphasis1">
    <w:name w:val="Emphasis1"/>
    <w:basedOn w:val="Normal"/>
    <w:link w:val="Emphasis"/>
    <w:autoRedefine/>
    <w:uiPriority w:val="20"/>
    <w:qFormat/>
    <w:rsid w:val="0064241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64241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6544</Words>
  <Characters>37045</Characters>
  <Application>Microsoft Office Word</Application>
  <DocSecurity>0</DocSecurity>
  <Lines>274</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2021-09-18T13:08:00Z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