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EFDF2" w14:textId="77777777" w:rsidR="00D31E39" w:rsidRDefault="00D31E39" w:rsidP="00D31E39">
      <w:pPr>
        <w:pStyle w:val="Heading1"/>
      </w:pPr>
      <w:r>
        <w:t>Ethical Reciprocity AC</w:t>
      </w:r>
    </w:p>
    <w:p w14:paraId="7C01100A" w14:textId="77777777" w:rsidR="00D31E39" w:rsidRPr="006A61A7" w:rsidRDefault="00D31E39" w:rsidP="00D31E39">
      <w:pPr>
        <w:pStyle w:val="Heading4"/>
      </w:pPr>
      <w:r>
        <w:t xml:space="preserve">The role of the ballot is to use the flow to identify and vote for the debater who performativity decolonizes debates about medicinal patents. </w:t>
      </w:r>
      <w:r>
        <w:rPr>
          <w:rFonts w:cs="Calibri"/>
          <w:color w:val="000000"/>
        </w:rPr>
        <w:t xml:space="preserve">This means form-level offense comes first and precludes theory </w:t>
      </w:r>
    </w:p>
    <w:p w14:paraId="4FD15BD3" w14:textId="77777777" w:rsidR="00D31E39" w:rsidRDefault="00D31E39" w:rsidP="00D31E39">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 2017</w:t>
      </w:r>
      <w:r>
        <w:t xml:space="preserve"> “Toward a decolonial global ethics” [https://www.tandfonline.com/doi/full/10.1080/17449626.2017.1373140] Accessed 10/1/20 SAO</w:t>
      </w:r>
    </w:p>
    <w:p w14:paraId="2DBC81CC" w14:textId="77777777" w:rsidR="00D31E39" w:rsidRPr="00E332BD" w:rsidRDefault="00D31E39" w:rsidP="00D31E39">
      <w:pPr>
        <w:rPr>
          <w:sz w:val="10"/>
        </w:rPr>
      </w:pPr>
      <w:r w:rsidRPr="00E332BD">
        <w:rPr>
          <w:sz w:val="10"/>
        </w:rPr>
        <w:t xml:space="preserve">Decolonial ethics is not without its tensions, some of which I explore in this section. In principle, the above two aspects of pluriversality cut in different directions. The pluriversal as that which is formed through inter-cultural dialogue points in the direction of a dialogue in which positions are not excluded in advance (even if this dialogue may take place, initially at least, only amongst the oppressed), and in which no particular standard or value is valid in advance of dialogue.7 Taken alone, this form of pluriversality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Are any and all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pluriversality cannot provide an account of whether there are views, practices and modes of engagement that should not be allowed in discussion. Nor can it rule out, as illegitimate, views, values, practices or policies that, despite emerging from discussion, may nonetheless go on to oppress others. It is here that pluriversality as a value enters</w:t>
      </w:r>
      <w:r w:rsidRPr="00195960">
        <w:rPr>
          <w:rStyle w:val="StyleUnderline"/>
          <w:b/>
          <w:bCs/>
          <w:highlight w:val="yellow"/>
        </w:rPr>
        <w:t xml:space="preserve">. Pluriversality </w:t>
      </w:r>
      <w:r w:rsidRPr="00E332BD">
        <w:rPr>
          <w:sz w:val="10"/>
        </w:rPr>
        <w:t>as a value suggests that practices, worldviews, values or policies are legitimate only if they remain compatible with the existence of other worlds. In this sense, pluriversality</w:t>
      </w:r>
      <w:r w:rsidRPr="00E332BD">
        <w:rPr>
          <w:rStyle w:val="StyleUnderline"/>
        </w:rPr>
        <w:t xml:space="preserve"> sets a standard of legitimacy that </w:t>
      </w:r>
      <w:r w:rsidRPr="00195960">
        <w:rPr>
          <w:rStyle w:val="StyleUnderline"/>
          <w:b/>
          <w:bCs/>
          <w:highlight w:val="yellow"/>
        </w:rPr>
        <w:t xml:space="preserve">would judge as morally wrong any </w:t>
      </w:r>
      <w:r w:rsidRPr="00E332BD">
        <w:rPr>
          <w:sz w:val="10"/>
        </w:rPr>
        <w:t>worldview, value or</w:t>
      </w:r>
      <w:r w:rsidRPr="00195960">
        <w:rPr>
          <w:rStyle w:val="StyleUnderline"/>
          <w:b/>
          <w:bCs/>
          <w:highlight w:val="yellow"/>
        </w:rPr>
        <w:t xml:space="preserve"> practice that </w:t>
      </w:r>
      <w:r w:rsidRPr="00E332BD">
        <w:rPr>
          <w:rStyle w:val="StyleUnderline"/>
        </w:rPr>
        <w:t>does not accept the existence of, or that</w:t>
      </w:r>
      <w:r w:rsidRPr="00E332BD">
        <w:rPr>
          <w:rStyle w:val="StyleUnderline"/>
          <w:b/>
          <w:bCs/>
        </w:rPr>
        <w:t xml:space="preserve"> </w:t>
      </w:r>
      <w:r w:rsidRPr="00195960">
        <w:rPr>
          <w:rStyle w:val="StyleUnderline"/>
          <w:b/>
          <w:bCs/>
          <w:highlight w:val="yellow"/>
        </w:rPr>
        <w:t>works to shut down, other worlds.</w:t>
      </w:r>
      <w:r w:rsidRPr="00195960">
        <w:rPr>
          <w:rStyle w:val="StyleUnderline"/>
          <w:b/>
          <w:bCs/>
        </w:rPr>
        <w:t xml:space="preserve"> </w:t>
      </w:r>
      <w:r w:rsidRPr="00E332BD">
        <w:rPr>
          <w:sz w:val="10"/>
        </w:rPr>
        <w:t xml:space="preserve">That is not necessarily to say, though, that those holding such views ought to be excluded from dialogue. There is a tension, then, between the two aspects of pluriversality. Giving ultimate priority to one aspect cannot solve this tension. Without any reflection on its emergence from pluriversal dialogue, the substantive value of pluriversality would become a new abstract, already-universal design and would undermine all commitment to taking seriously as producers of knowledge those that are marginalised.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identifying why a dialogue that takes seriously multiple cosmovisions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pluriversality must remain, and decolonial global ethics must find ways of navigating (if not resolving) any tension between them. It will be for pluriversal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of pluriversality</w:t>
      </w:r>
      <w:r w:rsidRPr="00195960">
        <w:rPr>
          <w:rStyle w:val="StyleUnderline"/>
          <w:highlight w:val="yellow"/>
        </w:rPr>
        <w:t xml:space="preserve"> has emerged, in practice, through pluriversal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(Leinius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policies and attitudes. Understanding what kind of practices, policies and modes of behaving and living enable other worlds to exist, and fostering the kind of respect for other worlds that such practices and ways of living may require, requires pluriversal dialogue, for it is through such exchanges that it will become apparent that certain demands and ways of living can and do result in the oppression of others. Both aspects of pluriversality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
          <w:bCs/>
          <w:highlight w:val="yellow"/>
        </w:rPr>
        <w:t>in</w:t>
      </w:r>
      <w:r w:rsidRPr="007C6D8C">
        <w:rPr>
          <w:rStyle w:val="StyleUnderline"/>
          <w:b/>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pluriversality are tensions between decoloniality as an option and decoloniality as an imperative. For Mignolo,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decolonisation and in building communal futures. (2011, xxvii) This weaker version of decoloniality appears not to rule out, as incompatible with decolonial global ethics, other visions. ‘Western civilization’ would then, Mignolo (2011, 176) suggests, ‘merely be one among many options, and not the one guide to rule the many.’ The decolonial option serves to add another option to the table. It does not necessarily reject Western modernity, liberal cosmopolitanism or other positions, provided that they, too, present themselves only as an option. When understanding pluriversality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(Alcoff 2012, 6) </w:t>
      </w:r>
      <w:r w:rsidRPr="007C6D8C">
        <w:rPr>
          <w:rStyle w:val="StyleUnderline"/>
        </w:rPr>
        <w:t>and becoming a relativism of anything goes</w:t>
      </w:r>
      <w:r w:rsidRPr="00E332BD">
        <w:rPr>
          <w:sz w:val="10"/>
        </w:rPr>
        <w:t xml:space="preserve">. For Grosfoguel (2012, 101), </w:t>
      </w:r>
      <w:r w:rsidRPr="007C6D8C">
        <w:rPr>
          <w:rStyle w:val="StyleUnderline"/>
          <w:b/>
          <w:bCs/>
        </w:rPr>
        <w:t xml:space="preserve">by contrast, pluriversality is not ‘a relativism of anything goes’. </w:t>
      </w:r>
      <w:r w:rsidRPr="00E332BD">
        <w:rPr>
          <w:sz w:val="10"/>
        </w:rPr>
        <w:t xml:space="preserve">Similarly, for Dussel (2012, 19), a decolonial perspective does ‘not presuppose the illusion of a non-existent symmetry between cultures’. Instead, </w:t>
      </w:r>
      <w:r w:rsidRPr="007C6D8C">
        <w:rPr>
          <w:rStyle w:val="StyleUnderline"/>
        </w:rPr>
        <w:t>it acknowledges that some cultures, cosmovisions and livelihoods are systematically threatened by others and cannot survive in the face of cosmovisions and lifestyles that are inextricably tied to the ceaseless extraction of resources, the dispossession of people and poor working conditions.</w:t>
      </w:r>
      <w:r w:rsidRPr="00E332BD">
        <w:rPr>
          <w:sz w:val="10"/>
        </w:rPr>
        <w:t xml:space="preserve"> These perspectives follow when the substantive value of pluriversality is invoked. </w:t>
      </w:r>
      <w:r w:rsidRPr="007C6D8C">
        <w:rPr>
          <w:rStyle w:val="StyleUnderline"/>
        </w:rPr>
        <w:t>If the practices, institutions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Mignolo primarily presents decoloniality as an option, at other times he suggests that ‘pluriversal futures … are only possible if the reign of economic capitalism ends’, on the basis that economic capitalism provides space only for practices that can be turned into, or do not obstruct, profits, and hence does not allow different worlds to exist on equal terms (Mignolo 2011, 292). This article is not the place to analyse the validity of Mignolo and Dussel’s accounts of </w:t>
      </w:r>
      <w:r w:rsidRPr="00E332BD">
        <w:rPr>
          <w:sz w:val="10"/>
        </w:rPr>
        <w:lastRenderedPageBreak/>
        <w:t xml:space="preserve">capitalism. The point is to suggest that </w:t>
      </w:r>
      <w:r w:rsidRPr="00195960">
        <w:rPr>
          <w:rStyle w:val="StyleUnderline"/>
          <w:highlight w:val="yellow"/>
        </w:rPr>
        <w:t xml:space="preserve">decoloniality should be considered an </w:t>
      </w:r>
      <w:r w:rsidRPr="007C6D8C">
        <w:rPr>
          <w:rStyle w:val="StyleUnderline"/>
          <w:b/>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
          <w:bCs/>
        </w:rPr>
        <w:t xml:space="preserve"> </w:t>
      </w:r>
      <w:r w:rsidRPr="00195960">
        <w:rPr>
          <w:rStyle w:val="StyleUnderline"/>
          <w:b/>
          <w:bCs/>
          <w:highlight w:val="yellow"/>
        </w:rPr>
        <w:t xml:space="preserve">goes beyond a relativism of anything goes. </w:t>
      </w:r>
      <w:r w:rsidRPr="00E761CA">
        <w:rPr>
          <w:rStyle w:val="StyleUnderline"/>
          <w:b/>
          <w:bCs/>
        </w:rPr>
        <w:t>Any option that inevitably depends upon the systematic destruction of other words would violate the principle of a world in which many worlds fit.</w:t>
      </w:r>
      <w:r w:rsidRPr="00E332BD">
        <w:rPr>
          <w:sz w:val="10"/>
        </w:rPr>
        <w:t xml:space="preserve"> Decoloniality, and its central value – pluriversality – invoke stringent demands that rule out a number of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cosmovisions of those who are dispossessed and displaced as a result of environmental change. </w:t>
      </w:r>
      <w:r w:rsidRPr="007C6D8C">
        <w:rPr>
          <w:rStyle w:val="StyleUnderline"/>
          <w:b/>
          <w:bCs/>
        </w:rPr>
        <w:t>It means, finally, that 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Mignolo (2011, 23) in one of his stronger statements, as a project ‘which all contending options would have to accept’. </w:t>
      </w:r>
      <w:r w:rsidRPr="00E761CA">
        <w:rPr>
          <w:rStyle w:val="StyleUnderline"/>
          <w:b/>
          <w:bCs/>
        </w:rPr>
        <w:t>This does not mean that decoloniality and pluriversality offer a singular and rigid global design</w:t>
      </w:r>
      <w:r w:rsidRPr="00E332BD">
        <w:rPr>
          <w:sz w:val="10"/>
        </w:rPr>
        <w:t xml:space="preserve">. A pluriversal world is one in which multiple options are possible – a world in which many worlds can co-exist. Whilst other options would be circumscribed insofar as they would have to accept the decolonial imperative of working towards a pluriversal world, this still leaves room for many options, many possible lives, livelihoods and cosmovisions. </w:t>
      </w:r>
      <w:r w:rsidRPr="00195960">
        <w:rPr>
          <w:rStyle w:val="StyleUnderline"/>
          <w:highlight w:val="yellow"/>
        </w:rPr>
        <w:t xml:space="preserve">Only those worlds that </w:t>
      </w:r>
      <w:r w:rsidRPr="00E761CA">
        <w:rPr>
          <w:rStyle w:val="StyleUnderline"/>
          <w:b/>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Far from invoking a relativism of anything goes, this principle is a demanding one, with radical implications for global social structures and ways of living.</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livelihoods, lifestyles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Recognising interconnectedness – and the long history of interconnectedness – only increases the importance of striving for a pluriversal world in an attempt to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decolonise, </w:t>
      </w:r>
      <w:r w:rsidRPr="00E332BD">
        <w:rPr>
          <w:rStyle w:val="StyleUnderline"/>
        </w:rPr>
        <w:t>decolonial theory offers a fundamentally global ethics that is distinct from individualistic and universalistic</w:t>
      </w:r>
      <w:r w:rsidRPr="00E332BD">
        <w:rPr>
          <w:sz w:val="10"/>
        </w:rPr>
        <w:t xml:space="preserve"> cosmopolitan </w:t>
      </w:r>
      <w:r w:rsidRPr="00E332BD">
        <w:rPr>
          <w:rStyle w:val="StyleUnderline"/>
        </w:rPr>
        <w:t>theory</w:t>
      </w:r>
      <w:r w:rsidRPr="00E332BD">
        <w:rPr>
          <w:sz w:val="10"/>
        </w:rPr>
        <w:t xml:space="preserve">. It begins with those perspectives threatened by a colonial matrix of power, and proposes inter-cultural dialogue across diverse cosmovisions. In so doing, it refuses to specify, in advance, what is of fundamental moral significance. Finally, it embraces pluriversality. Plurversality refers, on the one hand, to a way of constructing values. </w:t>
      </w:r>
      <w:r w:rsidRPr="00E332BD">
        <w:rPr>
          <w:rStyle w:val="StyleUnderline"/>
        </w:rPr>
        <w:t>A value is pluriversal if, rather than being set up as an abstract and already-universal value, it is constructed through dialogue across multiple cosmovisions</w:t>
      </w:r>
      <w:r w:rsidRPr="00E332BD">
        <w:rPr>
          <w:sz w:val="10"/>
        </w:rPr>
        <w:t xml:space="preserve">. Pluriversality also refers to a value of a world in which many words fit. </w:t>
      </w:r>
      <w:r w:rsidRPr="00E332BD">
        <w:rPr>
          <w:rStyle w:val="StyleUnderline"/>
        </w:rPr>
        <w:t xml:space="preserve">Pluriversality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particular practices, policies, processes or social structures. </w:t>
      </w:r>
      <w:r w:rsidRPr="00E332BD">
        <w:rPr>
          <w:sz w:val="10"/>
        </w:rPr>
        <w:t xml:space="preserve">Pluriversality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pluriversal exchange. Decolonial theory has been constructed alongside and through social movement practice. The above presentation of the value of pluriversality, and of the distinctive features of decolonial theory more broadly, has only been possible in light of the work of peasant, indigenous, feminist and World Social Forum activists contesting various aspects of the colonial matrix of power. Taking decolonial global ethics seriously opens avenues for further work judging whether, how, and why given practices, policies, processes and structures are compatible with pluriversality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33CC4846" w14:textId="77777777" w:rsidR="00D31E39" w:rsidRDefault="00D31E39" w:rsidP="00D31E39">
      <w:pPr>
        <w:pStyle w:val="Heading4"/>
      </w:pPr>
      <w:r>
        <w:t>Prefer my Role of the ballot</w:t>
      </w:r>
    </w:p>
    <w:p w14:paraId="3EFD851D" w14:textId="77777777" w:rsidR="00D31E39" w:rsidRPr="00C6676F" w:rsidRDefault="00D31E39" w:rsidP="00D31E39">
      <w:pPr>
        <w:pStyle w:val="Heading4"/>
      </w:pPr>
      <w:r>
        <w:t xml:space="preserve">[1] Representations and form first because our approach to the world determines our material actions which means it controls the IL to policy change. And additionally, it ensures reflexivity </w:t>
      </w:r>
    </w:p>
    <w:p w14:paraId="1EE881A7" w14:textId="77777777" w:rsidR="00D31E39" w:rsidRDefault="00D31E39" w:rsidP="00D31E39">
      <w:bookmarkStart w:id="0" w:name="_Hlk82591497"/>
      <w:r>
        <w:rPr>
          <w:rStyle w:val="Style13ptBold"/>
        </w:rPr>
        <w:t xml:space="preserve">Curbishley 15 - </w:t>
      </w:r>
      <w:r w:rsidRPr="00921164">
        <w:rPr>
          <w:rStyle w:val="Style13ptBold"/>
        </w:rPr>
        <w:t>Liddy Scarlet Curbishley student Masters of Humanities in Gender Studies August 2015</w:t>
      </w:r>
      <w:r>
        <w:t xml:space="preserve"> “Destabilizing the Colonization of Indigenous Knowledge In the Case of Biopiracy” [https://dspace.library.uu.nl/bitstream/handle/1874/319612/Liddy%20Thesis.pdf] Accessed 8/13/21 SAO</w:t>
      </w:r>
    </w:p>
    <w:p w14:paraId="58C2AE85" w14:textId="77777777" w:rsidR="00D31E39" w:rsidRPr="003E055D" w:rsidRDefault="00D31E39" w:rsidP="00D31E39">
      <w:pPr>
        <w:rPr>
          <w:sz w:val="10"/>
        </w:rPr>
      </w:pPr>
      <w:r w:rsidRPr="009D548A">
        <w:rPr>
          <w:rStyle w:val="StyleUnderline"/>
        </w:rPr>
        <w:t>Vital</w:t>
      </w:r>
      <w:r w:rsidRPr="009D548A">
        <w:rPr>
          <w:sz w:val="10"/>
        </w:rPr>
        <w:t xml:space="preserve"> for the aims of this thesis </w:t>
      </w:r>
      <w:r w:rsidRPr="009D548A">
        <w:rPr>
          <w:rStyle w:val="StyleUnderline"/>
        </w:rPr>
        <w:t>is the ability to use reflexivity</w:t>
      </w:r>
      <w:r w:rsidRPr="009D548A">
        <w:rPr>
          <w:sz w:val="10"/>
        </w:rPr>
        <w:t xml:space="preserve"> when discussing representation in/and research and to this end </w:t>
      </w:r>
      <w:r w:rsidRPr="009D548A">
        <w:rPr>
          <w:rStyle w:val="StyleUnderline"/>
        </w:rPr>
        <w:t>a postcolonial ecofeminist perspective is helpful</w:t>
      </w:r>
      <w:r w:rsidRPr="009D548A">
        <w:rPr>
          <w:sz w:val="10"/>
        </w:rPr>
        <w:t xml:space="preserve"> as </w:t>
      </w:r>
      <w:r w:rsidRPr="009D548A">
        <w:rPr>
          <w:rStyle w:val="StyleUnderline"/>
        </w:rPr>
        <w:t>it allows for the analysis of Subject constructions</w:t>
      </w:r>
      <w:r w:rsidRPr="009D548A">
        <w:rPr>
          <w:sz w:val="10"/>
        </w:rPr>
        <w:t xml:space="preserve">, in this case those that are constructed over the lives </w:t>
      </w:r>
      <w:r w:rsidRPr="009D548A">
        <w:rPr>
          <w:rStyle w:val="StyleUnderline"/>
        </w:rPr>
        <w:t>of non-white, non-Western, colonized, or indigenous peoples</w:t>
      </w:r>
      <w:r w:rsidRPr="009D548A">
        <w:rPr>
          <w:sz w:val="10"/>
        </w:rPr>
        <w:t>. Simone de Beauvoir</w:t>
      </w:r>
      <w:r w:rsidRPr="003E055D">
        <w:rPr>
          <w:sz w:val="10"/>
        </w:rPr>
        <w:t xml:space="preserve">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w:t>
      </w:r>
      <w:r w:rsidRPr="003E055D">
        <w:rPr>
          <w:sz w:val="10"/>
        </w:rPr>
        <w:lastRenderedPageBreak/>
        <w:t xml:space="preserve">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is concentrated in the hands of elites</w:t>
      </w:r>
      <w:r w:rsidRPr="003E055D">
        <w:rPr>
          <w:sz w:val="10"/>
        </w:rPr>
        <w:t xml:space="preserve">, in this case the Global North holds the power to re-present indigenous </w:t>
      </w:r>
      <w:r w:rsidRPr="009D548A">
        <w:rPr>
          <w:sz w:val="10"/>
        </w:rPr>
        <w:t xml:space="preserve">peoples. </w:t>
      </w:r>
      <w:r w:rsidRPr="009D548A">
        <w:rPr>
          <w:rStyle w:val="StyleUnderline"/>
        </w:rPr>
        <w:t>The ways</w:t>
      </w:r>
      <w:r w:rsidRPr="009D548A">
        <w:rPr>
          <w:sz w:val="10"/>
        </w:rPr>
        <w:t xml:space="preserve"> in which </w:t>
      </w:r>
      <w:r w:rsidRPr="009D548A">
        <w:rPr>
          <w:rStyle w:val="StyleUnderline"/>
        </w:rPr>
        <w:t xml:space="preserve">the indigenous Other is re-presented through the Subject construction devised by the Global North creates </w:t>
      </w:r>
      <w:r w:rsidRPr="00A7651E">
        <w:rPr>
          <w:rStyle w:val="StyleUnderline"/>
          <w:highlight w:val="yellow"/>
        </w:rPr>
        <w:t xml:space="preserve">the oppressive dualism necessary for </w:t>
      </w:r>
      <w:r w:rsidRPr="009D548A">
        <w:t>the</w:t>
      </w:r>
      <w:r w:rsidRPr="00A7651E">
        <w:rPr>
          <w:rStyle w:val="StyleUnderline"/>
          <w:highlight w:val="yellow"/>
        </w:rPr>
        <w:t xml:space="preserv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Said asserts that a “phenomenologically reduced status” is placed upon the Oriental that can only be accessed by a Western expert (1978: 283). Since Western re-presentations of the Orient began to arise, the Orient has been unable to represent itself as hegemonic </w:t>
      </w:r>
      <w:r w:rsidRPr="009D548A">
        <w:rPr>
          <w:sz w:val="10"/>
        </w:rPr>
        <w:t xml:space="preserve">Western representations engulf any attempt. Thus knowledge of the Orient can only be deemed credible once it had been refined by the Occidental’s work (283). </w:t>
      </w:r>
      <w:r w:rsidRPr="009D548A">
        <w:rPr>
          <w:rStyle w:val="StyleUnderline"/>
        </w:rPr>
        <w:t>This process of re-presenting</w:t>
      </w:r>
      <w:r w:rsidRPr="009D548A">
        <w:rPr>
          <w:sz w:val="10"/>
        </w:rPr>
        <w:t xml:space="preserve"> through Western eyes that Said speaks</w:t>
      </w:r>
      <w:r w:rsidRPr="003E055D">
        <w:rPr>
          <w:sz w:val="10"/>
        </w:rPr>
        <w:t xml:space="preserve"> of </w:t>
      </w:r>
      <w:r w:rsidRPr="00645893">
        <w:rPr>
          <w:rStyle w:val="StyleUnderline"/>
          <w:b/>
          <w:bCs/>
          <w:highlight w:val="yellow"/>
        </w:rPr>
        <w:t>is supported by institutions, vocabulary, scholarship, imagery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9D548A">
        <w:rPr>
          <w:rStyle w:val="StyleUnderline"/>
        </w:rPr>
        <w:t>agency to represent their own experiences becomes obscured and removed</w:t>
      </w:r>
      <w:r w:rsidRPr="009D548A">
        <w:rPr>
          <w:sz w:val="10"/>
        </w:rPr>
        <w:t>. Taking up this issue in her seminal paper, “Can the Subaltern Speak?” Spivak (2010) met her question with the answer of a resounding no: a response that exemplifies the lack of ability one has to represent oneself as a hyper-oppressed individual or collectivity. Mohanty moves beyond Spivak’s assertions and invites us to consider the possibility of a shift in the politics of representation</w:t>
      </w:r>
      <w:r w:rsidRPr="003E055D">
        <w:rPr>
          <w:sz w:val="10"/>
        </w:rPr>
        <w:t xml:space="preserve"> and states, “it is time to move beyond the Marx who found it possible to say: They </w:t>
      </w:r>
      <w:r w:rsidRPr="009D548A">
        <w:rPr>
          <w:sz w:val="10"/>
        </w:rPr>
        <w:t xml:space="preserve">cannot represent themselves; they must be represented” (Mohanty, 2003A: 354). Thus, as these arguments make clear, </w:t>
      </w:r>
      <w:r w:rsidRPr="009D548A">
        <w:rPr>
          <w:rStyle w:val="StyleUnderline"/>
          <w:b/>
          <w:bCs/>
        </w:rPr>
        <w:t>it is imperative that whilst</w:t>
      </w:r>
      <w:r w:rsidRPr="009D548A">
        <w:rPr>
          <w:sz w:val="10"/>
        </w:rPr>
        <w:t xml:space="preserve"> conducting research and </w:t>
      </w:r>
      <w:r w:rsidRPr="009D548A">
        <w:rPr>
          <w:rStyle w:val="StyleUnderline"/>
          <w:b/>
          <w:bCs/>
        </w:rPr>
        <w:t>theorizing one is attentive to</w:t>
      </w:r>
      <w:r w:rsidRPr="00645893">
        <w:rPr>
          <w:rStyle w:val="StyleUnderline"/>
          <w:b/>
          <w:bCs/>
          <w:highlight w:val="yellow"/>
        </w:rPr>
        <w:t xml:space="preserve">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Fonts w:eastAsiaTheme="majorEastAsia" w:cstheme="majorBidi"/>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9D548A">
        <w:rPr>
          <w:rStyle w:val="StyleUnderline"/>
        </w:rPr>
        <w:t xml:space="preserve">). It </w:t>
      </w:r>
      <w:r w:rsidRPr="00A7651E">
        <w:rPr>
          <w:rStyle w:val="StyleUnderline"/>
          <w:highlight w:val="yellow"/>
        </w:rPr>
        <w:t xml:space="preserve">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discussion I will attend to the Global North’s behaviour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carer.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creativity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selfdetermination.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religion and class (Shome, 2012: 200). The idea is not to reverse the nature/culture binary or create an indigenous-centrism as opposed to a Global North-centrism but instead move beyond these dominating dualistic ways of perceiving the world (200).</w:t>
      </w:r>
    </w:p>
    <w:bookmarkEnd w:id="0"/>
    <w:p w14:paraId="3FAE0FC4" w14:textId="77777777" w:rsidR="00D31E39" w:rsidRPr="00433392" w:rsidRDefault="00D31E39" w:rsidP="00D31E39">
      <w:pPr>
        <w:pStyle w:val="Heading4"/>
      </w:pPr>
      <w:r>
        <w:t xml:space="preserve">[2] Survival: </w:t>
      </w:r>
      <w:r w:rsidRPr="00433392">
        <w:t>Center</w:t>
      </w:r>
      <w:r>
        <w:t>ing</w:t>
      </w:r>
      <w:r w:rsidRPr="00433392">
        <w:t xml:space="preserve"> indigenous scholarship </w:t>
      </w:r>
      <w:r>
        <w:t xml:space="preserve">is </w:t>
      </w:r>
      <w:r w:rsidRPr="00433392">
        <w:t>an irreducible survival strategy</w:t>
      </w:r>
    </w:p>
    <w:p w14:paraId="139F97D1" w14:textId="77777777" w:rsidR="00D31E39" w:rsidRDefault="00D31E39" w:rsidP="00D31E39">
      <w:r w:rsidRPr="00CB364B">
        <w:rPr>
          <w:rStyle w:val="Style13ptBold"/>
        </w:rPr>
        <w:t>Reddy 18 - Sujani K. Reddy, Abolition: A Journal of Insurgent Politics (2018)</w:t>
      </w:r>
      <w:r w:rsidRPr="00CB364B">
        <w:t>“We Don’t Need No Education: Deschooling as an Abolitionist Practice” [ISSN 2642-9268 (Online) | ISSN 2642-925X (Print)] Accessed 8/17/19 SAO</w:t>
      </w:r>
    </w:p>
    <w:p w14:paraId="6C8FD695" w14:textId="77777777" w:rsidR="00D31E39" w:rsidRDefault="00D31E39" w:rsidP="00D31E39">
      <w:pPr>
        <w:rPr>
          <w:rStyle w:val="StyleUnderline"/>
        </w:rPr>
      </w:pPr>
      <w:r w:rsidRPr="0014470B">
        <w:rPr>
          <w:sz w:val="10"/>
        </w:rPr>
        <w:t xml:space="preserve">My essay has, in some sense, now reached a point of no return. </w:t>
      </w:r>
      <w:r w:rsidRPr="00CB364B">
        <w:rPr>
          <w:rStyle w:val="StyleUnderline"/>
          <w:b/>
          <w:bCs/>
          <w:highlight w:val="yellow"/>
        </w:rPr>
        <w:t>Centering indigenous sovereignty undoes the project of capitalist imperialism</w:t>
      </w:r>
      <w:r w:rsidRPr="001D08A0">
        <w:rPr>
          <w:rStyle w:val="StyleUnderline"/>
          <w:highlight w:val="yellow"/>
        </w:rPr>
        <w:t xml:space="preserve"> </w:t>
      </w:r>
      <w:r w:rsidRPr="0014470B">
        <w:rPr>
          <w:sz w:val="10"/>
        </w:rPr>
        <w:t>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inasmuch as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in the ongoing struggle to maintain indigenous epistemologies and cosmologies;</w:t>
      </w:r>
      <w:r w:rsidRPr="00EA38F2">
        <w:rPr>
          <w:rStyle w:val="StyleUnderline"/>
          <w:highlight w:val="yellow"/>
        </w:rPr>
        <w:t xml:space="preserve"> it is with the enslaved who taught themselves to read against the master’s will; </w:t>
      </w:r>
      <w:r w:rsidRPr="00CB364B">
        <w:rPr>
          <w:rStyle w:val="StyleUnderline"/>
        </w:rPr>
        <w:t>it is with the immigrants who were excluded and detained and who carved their voices into the walls of their holding cells; it is with the imprisoned whose quest for knowledge is self-led and oriented toward collective li</w:t>
      </w:r>
      <w:r w:rsidRPr="00541FC6">
        <w:rPr>
          <w:rStyle w:val="StyleUnderline"/>
        </w:rPr>
        <w:t>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Betasamosake Simpson, while specifc to the context of Nishnaabeg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particular moniker,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marronage.</w:t>
      </w:r>
      <w:r w:rsidRPr="0014470B">
        <w:rPr>
          <w:sz w:val="10"/>
          <w:highlight w:val="yellow"/>
        </w:rPr>
        <w:t xml:space="preserve"> </w:t>
      </w:r>
      <w:r w:rsidRPr="0014470B">
        <w:rPr>
          <w:sz w:val="10"/>
        </w:rPr>
        <w:t xml:space="preserve">In keeping with the proposition itself, I will proceed by being more suggestive than comprehensive or proscriptive as I refect on how the practice of Ethnic Studies evolved for me and a small group of students at my last job. These were young people whom I had worked with over multiple semesters and years, both inside the classroom and outside as an advisor and fellow activist in local struggles around migrant justice and against mass criminalization. We were in a setting where institutional resources were available for “service learning.” The college encouraged collaboration between </w:t>
      </w:r>
      <w:r w:rsidRPr="0014470B">
        <w:rPr>
          <w:sz w:val="10"/>
        </w:rPr>
        <w:lastRenderedPageBreak/>
        <w:t xml:space="preserve">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14470B">
        <w:rPr>
          <w:rStyle w:val="StyleUnderline"/>
        </w:rPr>
        <w:t xml:space="preserve">the most meaningful forms of action </w:t>
      </w:r>
      <w:r w:rsidRPr="0014470B">
        <w:rPr>
          <w:sz w:val="10"/>
        </w:rPr>
        <w:t xml:space="preserve">for us came to be the ones that went under the radar—the ones that were sideways and slanted and drew upon the undercommons as so powerfully articulated by Harney and Moten. We found ways to be in the institution but not of it, to not subordinate ourselves to its forms of recognition but instead </w:t>
      </w:r>
      <w:r w:rsidRPr="0014470B">
        <w:rPr>
          <w:rStyle w:val="StyleUnderline"/>
          <w:b/>
          <w:bCs/>
          <w:highlight w:val="yellow"/>
        </w:rPr>
        <w:t>to em</w:t>
      </w:r>
      <w:r w:rsidRPr="00CB364B">
        <w:rPr>
          <w:rStyle w:val="StyleUnderline"/>
          <w:b/>
          <w:bCs/>
          <w:highlight w:val="yellow"/>
        </w:rPr>
        <w:t xml:space="preserve">ploy its resources in ways that were not legible or reducible </w:t>
      </w:r>
      <w:r w:rsidRPr="0014470B">
        <w:rPr>
          <w:rStyle w:val="StyleUnderline"/>
          <w:b/>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whether or not we de-schooled Ethnic Studies is open. So too is the question of how the undercommons relates to visions of abolition. What I want to leave you with, at </w:t>
      </w:r>
      <w:r w:rsidRPr="00541FC6">
        <w:rPr>
          <w:rStyle w:val="StyleUnderline"/>
        </w:rPr>
        <w:t>this</w:t>
      </w:r>
      <w:r w:rsidRPr="0014470B">
        <w:rPr>
          <w:sz w:val="10"/>
        </w:rPr>
        <w:t xml:space="preserve"> juncture, is simply a practice of diversity that </w:t>
      </w:r>
      <w:r w:rsidRPr="00541FC6">
        <w:rPr>
          <w:rStyle w:val="StyleUnderline"/>
        </w:rPr>
        <w:t>is not a demand for inclusion so much as it is a call to diversity our tactics—</w:t>
      </w:r>
      <w:r w:rsidRPr="003839C8">
        <w:rPr>
          <w:rStyle w:val="StyleUnderline"/>
          <w:highlight w:val="yellow"/>
        </w:rPr>
        <w:t>as a strategy for survival.</w:t>
      </w:r>
    </w:p>
    <w:p w14:paraId="65281208" w14:textId="77777777" w:rsidR="00D31E39" w:rsidRPr="00D020F1" w:rsidRDefault="00D31E39" w:rsidP="00D31E39">
      <w:pPr>
        <w:pStyle w:val="Heading4"/>
      </w:pPr>
      <w:r>
        <w:t>[3] Resolvability: Semantic representations of t</w:t>
      </w:r>
      <w:r w:rsidRPr="00D020F1">
        <w:t xml:space="preserve">ruth </w:t>
      </w:r>
      <w:r>
        <w:t xml:space="preserve">aren’t reliable. </w:t>
      </w:r>
    </w:p>
    <w:p w14:paraId="4D489924" w14:textId="77777777" w:rsidR="00D31E39" w:rsidRDefault="00D31E39" w:rsidP="00D31E39">
      <w:r w:rsidRPr="00281ACF">
        <w:rPr>
          <w:rStyle w:val="Style13ptBold"/>
        </w:rPr>
        <w:t xml:space="preserve">Kienpointner 96 </w:t>
      </w:r>
      <w:r>
        <w:rPr>
          <w:rStyle w:val="Style13ptBold"/>
        </w:rPr>
        <w:t>–</w:t>
      </w:r>
      <w:r w:rsidRPr="00281ACF">
        <w:rPr>
          <w:rStyle w:val="Style13ptBold"/>
        </w:rPr>
        <w:t xml:space="preserve"> </w:t>
      </w:r>
      <w:r>
        <w:rPr>
          <w:rStyle w:val="Style13ptBold"/>
        </w:rPr>
        <w:t xml:space="preserve">M. </w:t>
      </w:r>
      <w:r w:rsidRPr="00281ACF">
        <w:rPr>
          <w:rStyle w:val="Style13ptBold"/>
        </w:rPr>
        <w:t>Kienpointner in the Journal Argumentation, November 1996</w:t>
      </w:r>
      <w:r w:rsidRPr="00281ACF">
        <w:t xml:space="preserve"> “Whorf and Wittgenstein. Language, world view and argumentation”</w:t>
      </w:r>
      <w:r>
        <w:t xml:space="preserve"> [https://link.springer.com/article/10.1007/BF00142980] Accessed 9/18/19 SAO</w:t>
      </w:r>
    </w:p>
    <w:p w14:paraId="7527EAEB" w14:textId="77777777" w:rsidR="00D31E39" w:rsidRPr="009C7FAE" w:rsidRDefault="00D31E39" w:rsidP="00D31E39">
      <w:pPr>
        <w:rPr>
          <w:sz w:val="8"/>
        </w:rPr>
      </w:pPr>
      <w:r w:rsidRPr="00223609">
        <w:rPr>
          <w:rStyle w:val="StyleUnderline"/>
        </w:rPr>
        <w:t>An extreme case of linguistic expressions which let premises appear as indubitable truths or norms are tautologies</w:t>
      </w:r>
      <w:r w:rsidRPr="009C7FAE">
        <w:rPr>
          <w:sz w:val="8"/>
        </w:rPr>
        <w:t xml:space="preserve">. In classical two-valued predicate and propositional logic, tautologies are </w:t>
      </w:r>
      <w:r w:rsidRPr="00223609">
        <w:rPr>
          <w:rStyle w:val="StyleUnderline"/>
        </w:rPr>
        <w:t>defined as necessarily true statements which only convey redundant information</w:t>
      </w:r>
      <w:r w:rsidRPr="009C7FAE">
        <w:rPr>
          <w:sz w:val="8"/>
        </w:rPr>
        <w:t xml:space="preserve"> (cf. e.g. 'A is A'/'As are As', 'If p, then p', 'Either p or not p' and their formal equivalents: 'Vx [P(x) -- P(x)]', 'p --&gt; p', 'p v -,p'; note that the last tautology becomes a contingent proposition in logical systems with three or more truth values). Different from their purely formal logical counterparts, </w:t>
      </w:r>
      <w:r w:rsidRPr="00223609">
        <w:rPr>
          <w:rStyle w:val="StyleUnderline"/>
        </w:rPr>
        <w:t xml:space="preserve">tautological utterances in natural languages </w:t>
      </w:r>
      <w:r w:rsidRPr="009C7FAE">
        <w:rPr>
          <w:sz w:val="8"/>
        </w:rPr>
        <w:t xml:space="preserve">do </w:t>
      </w:r>
      <w:r w:rsidRPr="00223609">
        <w:rPr>
          <w:rStyle w:val="StyleUnderline"/>
        </w:rPr>
        <w:t xml:space="preserve">convey additional semantic information, while sharing the appearance of absolute necessity with formal </w:t>
      </w:r>
      <w:r w:rsidRPr="003D2BC5">
        <w:rPr>
          <w:rStyle w:val="StyleUnderline"/>
        </w:rPr>
        <w:t>tautologies</w:t>
      </w:r>
      <w:r w:rsidRPr="009C7FAE">
        <w:rPr>
          <w:sz w:val="8"/>
        </w:rPr>
        <w:t xml:space="preserve">. </w:t>
      </w:r>
      <w:r w:rsidRPr="003D2BC5">
        <w:rPr>
          <w:rStyle w:val="StyleUnderline"/>
        </w:rPr>
        <w:t>It is not surprising</w:t>
      </w:r>
      <w:r w:rsidRPr="009C7FAE">
        <w:rPr>
          <w:sz w:val="8"/>
        </w:rPr>
        <w:t xml:space="preserve">, then, that </w:t>
      </w:r>
      <w:r w:rsidRPr="003D2BC5">
        <w:rPr>
          <w:rStyle w:val="StyleUnderline"/>
        </w:rPr>
        <w:t>tautological</w:t>
      </w:r>
      <w:r w:rsidRPr="009C7FAE">
        <w:rPr>
          <w:sz w:val="8"/>
        </w:rPr>
        <w:t xml:space="preserve"> </w:t>
      </w:r>
      <w:r w:rsidRPr="003D2BC5">
        <w:rPr>
          <w:rStyle w:val="StyleUnderline"/>
        </w:rPr>
        <w:t>sentences are used in everyday argumentation</w:t>
      </w:r>
      <w:r w:rsidRPr="009C7FAE">
        <w:rPr>
          <w:sz w:val="8"/>
        </w:rPr>
        <w:t xml:space="preserve"> </w:t>
      </w:r>
      <w:r w:rsidRPr="003D2BC5">
        <w:rPr>
          <w:rStyle w:val="StyleUnderline"/>
        </w:rPr>
        <w:t>to</w:t>
      </w:r>
      <w:r w:rsidRPr="009C7FAE">
        <w:rPr>
          <w:sz w:val="8"/>
        </w:rPr>
        <w:t xml:space="preserve"> </w:t>
      </w:r>
      <w:r w:rsidRPr="003D2BC5">
        <w:rPr>
          <w:rStyle w:val="StyleUnderline"/>
        </w:rPr>
        <w:t>convey</w:t>
      </w:r>
      <w:r w:rsidRPr="009C7FAE">
        <w:rPr>
          <w:sz w:val="8"/>
        </w:rPr>
        <w:t xml:space="preserve"> </w:t>
      </w:r>
      <w:r w:rsidRPr="003D2BC5">
        <w:rPr>
          <w:rStyle w:val="StyleUnderline"/>
        </w:rPr>
        <w:t>a message like: 'My arguments are irrefutable'</w:t>
      </w:r>
      <w:r w:rsidRPr="009C7FAE">
        <w:rPr>
          <w:sz w:val="8"/>
        </w:rPr>
        <w:t xml:space="preserve">. In the remainder of this chapter, I will describe the function of tautologies in everyday argumentation and criticize the implicit ideological messages they often convey. But first, I will give a short review of the relevant literature. Tautologies and their communicative functions have been the subject of quite a number of contributions in recent linguistic literature (cf. Wierzbicka, 1987, 1988; Fraser, 1988; Ward/Hirschberg, 1991; Farghal, 1992; Okamoto, 1993). A main point of the controversial discussion has revolved around the question whether natural language tautologies are uninformative by themselves and only convey meanings via inferred Gricean implicatures or whether they do have language-specific meanings which are encoded by grammatical and semantic features of the linguistic system. The first alternative was favored by representatives of the 'radical pragmatics' approach. Following Grice (1975), Levinson (1983: 125) considered </w:t>
      </w:r>
      <w:r w:rsidRPr="00551630">
        <w:rPr>
          <w:rStyle w:val="StyleUnderline"/>
          <w:highlight w:val="yellow"/>
        </w:rPr>
        <w:t>tautological utterances</w:t>
      </w:r>
      <w:r w:rsidRPr="009C7FAE">
        <w:rPr>
          <w:sz w:val="8"/>
          <w:highlight w:val="yellow"/>
        </w:rPr>
        <w:t xml:space="preserve"> </w:t>
      </w:r>
      <w:r w:rsidRPr="009C7FAE">
        <w:rPr>
          <w:sz w:val="8"/>
        </w:rPr>
        <w:t xml:space="preserve">like 'Boys </w:t>
      </w:r>
      <w:r w:rsidRPr="00551630">
        <w:rPr>
          <w:rStyle w:val="StyleUnderline"/>
          <w:highlight w:val="yellow"/>
        </w:rPr>
        <w:t>are</w:t>
      </w:r>
      <w:r w:rsidRPr="009C7FAE">
        <w:rPr>
          <w:sz w:val="8"/>
          <w:highlight w:val="yellow"/>
        </w:rPr>
        <w:t xml:space="preserve"> </w:t>
      </w:r>
      <w:r w:rsidRPr="009C7FAE">
        <w:rPr>
          <w:sz w:val="8"/>
        </w:rPr>
        <w:t xml:space="preserve">boys' as </w:t>
      </w:r>
      <w:r w:rsidRPr="00551630">
        <w:rPr>
          <w:rStyle w:val="StyleUnderline"/>
          <w:highlight w:val="yellow"/>
        </w:rPr>
        <w:t>meaningless</w:t>
      </w:r>
      <w:r w:rsidRPr="009C7FAE">
        <w:rPr>
          <w:sz w:val="8"/>
          <w:highlight w:val="yellow"/>
        </w:rPr>
        <w:t xml:space="preserve"> </w:t>
      </w:r>
      <w:r w:rsidRPr="009C7FAE">
        <w:rPr>
          <w:sz w:val="8"/>
        </w:rPr>
        <w:t xml:space="preserve">if </w:t>
      </w:r>
      <w:r w:rsidRPr="00551630">
        <w:rPr>
          <w:rStyle w:val="StyleUnderline"/>
          <w:highlight w:val="yellow"/>
        </w:rPr>
        <w:t>out of context</w:t>
      </w:r>
      <w:r w:rsidRPr="009C7FAE">
        <w:rPr>
          <w:sz w:val="8"/>
        </w:rPr>
        <w:t xml:space="preserve">. The actually existing </w:t>
      </w:r>
      <w:r w:rsidRPr="0014470B">
        <w:rPr>
          <w:rStyle w:val="StyleUnderline"/>
          <w:b/>
          <w:bCs/>
          <w:highlight w:val="yellow"/>
        </w:rPr>
        <w:t>semantic</w:t>
      </w:r>
      <w:r w:rsidRPr="0014470B">
        <w:rPr>
          <w:rStyle w:val="StyleUnderline"/>
          <w:highlight w:val="yellow"/>
        </w:rPr>
        <w:t xml:space="preserve"> </w:t>
      </w:r>
      <w:r w:rsidRPr="0014470B">
        <w:rPr>
          <w:rStyle w:val="StyleUnderline"/>
          <w:b/>
          <w:bCs/>
          <w:highlight w:val="yellow"/>
        </w:rPr>
        <w:t>information</w:t>
      </w:r>
      <w:r w:rsidRPr="009C7FAE">
        <w:rPr>
          <w:sz w:val="8"/>
        </w:rPr>
        <w:t xml:space="preserve"> conveyed by such utterances, which seem to violate the Quantity and Relevance maxims of Grice, is inferable only via implicatures (e.g.: 'That's the kind of unruly behavior you would expect from boys'). These implicatures depend on the particular context of the utterance. Ward/Hirschberg (1991: 511) tried to generalize this approach and to formulate explicit principles for the interpretation of tautological utterances as generalized Cricean implicatures. They see the main function of tautologies (e.g. 'War is war') in the implicit rejection of alternative utterances (e.g.: 'War is a crime', more generally: 'A is B' or 'If p, then q' etc.). The second alternative was supported by Wierzbicka (1987, 1988), who argued for a 'radical semantics' approach. According to this approach, </w:t>
      </w:r>
      <w:r w:rsidRPr="0014470B">
        <w:rPr>
          <w:rStyle w:val="StyleUnderline"/>
        </w:rPr>
        <w:t xml:space="preserve">tautologies </w:t>
      </w:r>
      <w:r w:rsidRPr="009C7FAE">
        <w:rPr>
          <w:sz w:val="8"/>
        </w:rPr>
        <w:t xml:space="preserve">cannot be considered as meaningless if out of context (1987: 96ff.): firstly, they </w:t>
      </w:r>
      <w:r w:rsidRPr="0014470B">
        <w:rPr>
          <w:rStyle w:val="StyleUnderline"/>
          <w:b/>
          <w:bCs/>
          <w:highlight w:val="yellow"/>
        </w:rPr>
        <w:t>differ</w:t>
      </w:r>
      <w:r w:rsidRPr="00D027A8">
        <w:rPr>
          <w:rStyle w:val="StyleUnderline"/>
          <w:highlight w:val="yellow"/>
        </w:rPr>
        <w:t xml:space="preserve"> </w:t>
      </w:r>
      <w:r w:rsidRPr="009C7FAE">
        <w:rPr>
          <w:sz w:val="8"/>
        </w:rPr>
        <w:t>considerably</w:t>
      </w:r>
      <w:r w:rsidRPr="0014470B">
        <w:rPr>
          <w:rStyle w:val="StyleUnderline"/>
        </w:rPr>
        <w:t xml:space="preserve"> </w:t>
      </w:r>
      <w:r w:rsidRPr="0014470B">
        <w:rPr>
          <w:rStyle w:val="StyleUnderline"/>
          <w:b/>
          <w:bCs/>
          <w:highlight w:val="yellow"/>
        </w:rPr>
        <w:t>across</w:t>
      </w:r>
      <w:r w:rsidRPr="00D027A8">
        <w:rPr>
          <w:rStyle w:val="StyleUnderline"/>
          <w:highlight w:val="yellow"/>
        </w:rPr>
        <w:t xml:space="preserve"> </w:t>
      </w:r>
      <w:r w:rsidRPr="0014470B">
        <w:rPr>
          <w:rStyle w:val="StyleUnderline"/>
          <w:b/>
          <w:bCs/>
          <w:highlight w:val="yellow"/>
        </w:rPr>
        <w:t>languages</w:t>
      </w:r>
      <w:r w:rsidRPr="00F94F3C">
        <w:rPr>
          <w:rStyle w:val="StyleUnderline"/>
          <w:highlight w:val="yellow"/>
        </w:rPr>
        <w:t xml:space="preserve">. </w:t>
      </w:r>
      <w:r w:rsidRPr="009C7FAE">
        <w:rPr>
          <w:sz w:val="8"/>
        </w:rPr>
        <w:t>One and</w:t>
      </w:r>
      <w:r w:rsidRPr="00F94F3C">
        <w:rPr>
          <w:rStyle w:val="StyleUnderline"/>
          <w:highlight w:val="yellow"/>
        </w:rPr>
        <w:t xml:space="preserve"> </w:t>
      </w:r>
      <w:r w:rsidRPr="0014470B">
        <w:rPr>
          <w:rStyle w:val="StyleUnderline"/>
          <w:highlight w:val="yellow"/>
        </w:rPr>
        <w:t>the same syntactic structure can have differing meanings</w:t>
      </w:r>
      <w:r w:rsidRPr="00F94F3C">
        <w:rPr>
          <w:rStyle w:val="StyleUnderline"/>
          <w:highlight w:val="yellow"/>
        </w:rPr>
        <w:t xml:space="preserve"> </w:t>
      </w:r>
      <w:r w:rsidRPr="00D027A8">
        <w:rPr>
          <w:rStyle w:val="StyleUnderline"/>
        </w:rPr>
        <w:t>in different languages and quite often, tautologies occurring in one particular language do not even exist in this form in another language</w:t>
      </w:r>
      <w:r w:rsidRPr="009C7FAE">
        <w:rPr>
          <w:sz w:val="8"/>
        </w:rPr>
        <w:t xml:space="preserve"> (e.g. 'Boys are boys' does not exist in this form in French, German or Russian: compare *'Les garqons sont les (des?) gargons', *'Knaben sind Knaben', *'Mal'iki mal'6iki'). Secondly, within one and the same language, a number of formally different types of tautological sentences can be systematically associated with different meanings. A third alternative has been suggested by Fraser (1988: 217f.) and refined by Farghal (1992) and Okamoto (1993). According to this approach, which I consider to be the most convincing one, both the 'radical pragmatics' and the 'radical semantics' approach have shortcomings: the first cannot explain that many tautological utterances do have conventional core meanings, even apart from specific contexts (and at least generalized implicatures come close to conventional meaning). Moreover, </w:t>
      </w:r>
      <w:r w:rsidRPr="00D027A8">
        <w:rPr>
          <w:rStyle w:val="StyleUnderline"/>
        </w:rPr>
        <w:t>there are obvious formal and semant</w:t>
      </w:r>
      <w:r w:rsidRPr="00F94F3C">
        <w:rPr>
          <w:rStyle w:val="StyleUnderline"/>
        </w:rPr>
        <w:t>ic differences between tautological utterance across languages</w:t>
      </w:r>
      <w:r w:rsidRPr="009C7FAE">
        <w:rPr>
          <w:sz w:val="8"/>
        </w:rPr>
        <w:t xml:space="preserve">. The latter cannot explain the full range of possible meanings associated with a particular tautological construction. Several counter examples have been given as to the suggested meanings of English tautologies as described by Wierzbicka (pointed out by Fraser, 1988: 218f.; Ward/ Hirschberg, 1991: 512f.) and a variety of contextual meanings of one and the same tautological construction cannot be explained without the use of pragmatic principles like the Grixean maxims (cf. Farghal, 1992: 226f.; Okamoto, 1993: 462f.). </w:t>
      </w:r>
      <w:r w:rsidRPr="00F94F3C">
        <w:rPr>
          <w:rStyle w:val="StyleUnderline"/>
        </w:rPr>
        <w:t>For instance</w:t>
      </w:r>
      <w:r w:rsidRPr="009C7FAE">
        <w:rPr>
          <w:sz w:val="8"/>
        </w:rPr>
        <w:t xml:space="preserve">, the Japanese tautology 'X wa X' (where 'wa' is a topic marker) can be assigned the core meaning of category immutability: no matter how marginal the particular instantiation of category X may be, it must be accepted as an instance of X (Okamoto, 1993: 439). But in addition, 'X wa X may plausibly be used to convey other meanings, in particular attitudinal meanings, such as resignation, tolerance, defiance, obligation, criticism, or soberness' (1993: 462). For example, the specific tautology 'Oya wa oya' ('A parent is a parent') can be used to call special attention to a parent even if he or she cannot be considered an ideal parent (obligation), to ask for understanding of the typical behavior of a parent (tolerance), to request gratitude for the efforts of a parent (appreciation) etc. Similarly, Farghal (1992: 232f.) points out that </w:t>
      </w:r>
      <w:r w:rsidRPr="00F94F3C">
        <w:rPr>
          <w:rStyle w:val="StyleUnderline"/>
        </w:rPr>
        <w:t>Jordanian Arabic tautologi</w:t>
      </w:r>
      <w:r w:rsidRPr="009C7FAE">
        <w:rPr>
          <w:sz w:val="8"/>
        </w:rPr>
        <w:t xml:space="preserve">es like 'Hi:h hi:h' (lit. 'She she', that is, 'She is she' or 'She'll never change') </w:t>
      </w:r>
      <w:r w:rsidRPr="00F94F3C">
        <w:rPr>
          <w:rStyle w:val="StyleUnderline"/>
        </w:rPr>
        <w:t>can be used both for expressing admiration and condemnation</w:t>
      </w:r>
      <w:r w:rsidRPr="009C7FAE">
        <w:rPr>
          <w:sz w:val="8"/>
        </w:rPr>
        <w:t xml:space="preserve">. I will now return to the function of tautological expressions in everyday argumentation. In my opinion, the discussion of the status of tautologies and their functions in various natural languages (among them English, French, Russian, Polish, Arabic, Japanese) seems to have shown that many (if not all) varieties of tautological utterances can be used in argumentative discourse according to one and the same argument scheme. The tautologies themselves and the core meaning conventionally implied by many of them, namely, that they preclude the possibility of other alternatives and that this will remain so in the foreseeable future, belong to the premises of this argument scheme (cf. Wierzbicka, 1987: 109; Ward Hirschberg, 1991: 511): Tautological Argument (= TA): If A is A, A is not B. A is A This is the only possibility. This will not change (in the foreseeable future). Therefore: A is not B (not C, not D ... ).This scheme could easily be modified to include other types of tautological utterances (e.g.: If p, then p; or: Either p or not p etc.) and other types of conclusions (e.g.: Not q (not r, not s .. .)). Note that 'A is A' and other types of </w:t>
      </w:r>
      <w:r w:rsidRPr="003D2BC5">
        <w:rPr>
          <w:rStyle w:val="StyleUnderline"/>
        </w:rPr>
        <w:t xml:space="preserve">tautologies need not always express factual propositions </w:t>
      </w:r>
      <w:r w:rsidRPr="009C7FAE">
        <w:rPr>
          <w:sz w:val="8"/>
        </w:rPr>
        <w:t xml:space="preserve">('Boys are boys'), </w:t>
      </w:r>
      <w:r w:rsidRPr="003D2BC5">
        <w:rPr>
          <w:rStyle w:val="StyleUnderline"/>
        </w:rPr>
        <w:t xml:space="preserve">but can also indirectly express </w:t>
      </w:r>
      <w:r w:rsidRPr="009C7FAE">
        <w:rPr>
          <w:b/>
          <w:bCs/>
          <w:sz w:val="8"/>
        </w:rPr>
        <w:t>obligations and other types of</w:t>
      </w:r>
      <w:r w:rsidRPr="003D2BC5">
        <w:rPr>
          <w:rStyle w:val="StyleUnderline"/>
        </w:rPr>
        <w:t xml:space="preserve"> normative propositions</w:t>
      </w:r>
      <w:r w:rsidRPr="009C7FAE">
        <w:rPr>
          <w:b/>
          <w:bCs/>
          <w:sz w:val="8"/>
        </w:rPr>
        <w:t xml:space="preserve"> (</w:t>
      </w:r>
      <w:r w:rsidRPr="009C7FAE">
        <w:rPr>
          <w:sz w:val="8"/>
        </w:rPr>
        <w:t xml:space="preserve">e.g.: </w:t>
      </w:r>
      <w:r w:rsidRPr="003D2BC5">
        <w:rPr>
          <w:rStyle w:val="StyleUnderline"/>
        </w:rPr>
        <w:t>'A mother is a mother', meaning that one has certain obligations towards one's mother, which should be fulfilled</w:t>
      </w:r>
      <w:r w:rsidRPr="009C7FAE">
        <w:rPr>
          <w:sz w:val="8"/>
        </w:rPr>
        <w:t xml:space="preserve">). To illustrate this scheme and its applications in argumentative discourse, I will use some of the examples provided by Ward/Hirschberg (1991: 512ff.). They are all taken from authentic passages of spoken or written English. See for example (the abbreviations are Ward/Hirschberg's): 1. GW:Why would you want to hack in Paoli eight hours a day? DE: A job's a job. (6 March 1985) 2. Jim Gardner: The defense claimed White had asked him to kill her. The prosecution countered with the claim 'Murder is murder'. (Channel 6 Action News at 6, 8 June 1985) 3. But we do not believe there should be one set of scientific principles for the whole world, and a different set for experiments involving cigarettes. </w:t>
      </w:r>
      <w:r w:rsidRPr="003D2BC5">
        <w:rPr>
          <w:rStyle w:val="StyleUnderline"/>
        </w:rPr>
        <w:t xml:space="preserve">Science is science, Proof is proof. </w:t>
      </w:r>
      <w:r w:rsidRPr="009C7FAE">
        <w:rPr>
          <w:sz w:val="8"/>
        </w:rPr>
        <w:t xml:space="preserve">(New York Times Magazine, 14 April 1985) 4. Host: Either a ham has a bone or it doesn't have a bone. Where'd they get a name like 'semi-boneless' form? (WNSR radio, 10 December 1987) 5. MK: I really should learn how to find the other entrance [to the Holland Tunnel]. DL: What good will that do? If it's crowded, it's crowded. (2 February 1986) Example 1 to 3 illustrate the use of 'equative' tautologies ('A is A'), which are by far the most frequent type (67.5%) in a sample of 169 tautological utterances collected by Ward/Hirschberg (1991: 511). In example 1, DE reacts to the question of GW, who challenges DE's willingness to do a rather unattractive job. DE provides a tautological argument which leads to an implicit conclusion like: 'There is no alternative to the kind of job I'm doing' or 'There are no really nice jobs which would be available'. Similarly, in example 2, the prosecution counters the defense's attempt of finding mitigating circumstances with a tautology implying a conclusion like: 'There is no excusable type of murder' or 'There is no pardonable kind of intentional killing a person'. In example 3, the conclusion drawn from the two tautological arguments is spelled out explicitly ('But we do not believe . . .'): </w:t>
      </w:r>
      <w:r w:rsidRPr="003D2BC5">
        <w:rPr>
          <w:rStyle w:val="StyleUnderline"/>
        </w:rPr>
        <w:t>there are no alternative types of science nor are there alternative types of proof.</w:t>
      </w:r>
      <w:r w:rsidRPr="009C7FAE">
        <w:rPr>
          <w:sz w:val="8"/>
        </w:rPr>
        <w:t xml:space="preserve"> Example 4 and 5 provide instances of 'disjunctive' and 'conditional' tautological utterances. In both cases, </w:t>
      </w:r>
      <w:r w:rsidRPr="003D2BC5">
        <w:rPr>
          <w:rStyle w:val="StyleUnderline"/>
        </w:rPr>
        <w:t>the conclusion is indirectly expressed with the help of incredulous (rhetorical) questions</w:t>
      </w:r>
      <w:r w:rsidRPr="009C7FAE">
        <w:rPr>
          <w:sz w:val="8"/>
        </w:rPr>
        <w:t>: 'Where'd they get a name like 'semi-boneless' from?' implies that there is just no possible source whatsoever from where one could get 'semi-</w:t>
      </w:r>
      <w:r w:rsidRPr="009C7FAE">
        <w:rPr>
          <w:sz w:val="8"/>
        </w:rPr>
        <w:lastRenderedPageBreak/>
        <w:t xml:space="preserve">boneless' ham because there are only two alternatives: 'either p or not p' (and no further alternatives q, r, . . .). 'What good will that do?' implies that it is useless looking for 'less crowded' or even 'uncrowded' entrances because there is no alternative q (or s, t, .. .) for p. All tautological arguments presented above invite a similar sort of criticism: </w:t>
      </w:r>
      <w:r w:rsidRPr="00F94F3C">
        <w:rPr>
          <w:rStyle w:val="StyleUnderline"/>
          <w:highlight w:val="yellow"/>
        </w:rPr>
        <w:t xml:space="preserve">despite the appearance of absolute certainty </w:t>
      </w:r>
      <w:r w:rsidRPr="00223609">
        <w:rPr>
          <w:rStyle w:val="StyleUnderline"/>
        </w:rPr>
        <w:t>because</w:t>
      </w:r>
      <w:r w:rsidRPr="00F94F3C">
        <w:rPr>
          <w:rStyle w:val="StyleUnderline"/>
          <w:highlight w:val="yellow"/>
        </w:rPr>
        <w:t xml:space="preserve"> of </w:t>
      </w:r>
      <w:r w:rsidRPr="00223609">
        <w:rPr>
          <w:rStyle w:val="StyleUnderline"/>
        </w:rPr>
        <w:t xml:space="preserve">the alleged absolute identity between </w:t>
      </w:r>
      <w:r w:rsidRPr="00223609">
        <w:rPr>
          <w:rStyle w:val="StyleUnderline"/>
          <w:highlight w:val="yellow"/>
        </w:rPr>
        <w:t>'A' and 'A</w:t>
      </w:r>
      <w:r w:rsidRPr="00223609">
        <w:rPr>
          <w:rStyle w:val="StyleUnderline"/>
        </w:rPr>
        <w:t>' or 'p' and 'p'</w:t>
      </w:r>
      <w:r w:rsidRPr="00D027A8">
        <w:rPr>
          <w:rStyle w:val="StyleUnderline"/>
        </w:rPr>
        <w:t>, in reality</w:t>
      </w:r>
      <w:r w:rsidRPr="00F94F3C">
        <w:rPr>
          <w:rStyle w:val="StyleUnderline"/>
          <w:highlight w:val="yellow"/>
        </w:rPr>
        <w:t xml:space="preserve">, </w:t>
      </w:r>
      <w:r w:rsidRPr="00D027A8">
        <w:rPr>
          <w:rStyle w:val="StyleUnderline"/>
          <w:highlight w:val="yellow"/>
        </w:rPr>
        <w:t>no particular instances of entity A</w:t>
      </w:r>
      <w:r w:rsidRPr="009C7FAE">
        <w:rPr>
          <w:b/>
          <w:bCs/>
          <w:sz w:val="8"/>
        </w:rPr>
        <w:t xml:space="preserve"> (or state of affairs p) </w:t>
      </w:r>
      <w:r w:rsidRPr="00D027A8">
        <w:rPr>
          <w:rStyle w:val="StyleUnderline"/>
          <w:highlight w:val="yellow"/>
        </w:rPr>
        <w:t>are completely identical</w:t>
      </w:r>
      <w:r w:rsidRPr="009C7FAE">
        <w:rPr>
          <w:sz w:val="8"/>
        </w:rPr>
        <w:t xml:space="preserve">. After all, that is why people start to argue about particular instances of jobs, assassinations, scientific proofs etc.! Therefore, many </w:t>
      </w:r>
      <w:r w:rsidRPr="00F94F3C">
        <w:rPr>
          <w:rStyle w:val="StyleUnderline"/>
          <w:highlight w:val="yellow"/>
        </w:rPr>
        <w:t>tautological arguments</w:t>
      </w:r>
      <w:r w:rsidRPr="009C7FAE">
        <w:rPr>
          <w:sz w:val="8"/>
          <w:highlight w:val="yellow"/>
        </w:rPr>
        <w:t xml:space="preserve"> </w:t>
      </w:r>
      <w:r w:rsidRPr="009C7FAE">
        <w:rPr>
          <w:sz w:val="8"/>
        </w:rPr>
        <w:t xml:space="preserve">following the TA-pattern can be criticized as instances of the fallacy called 'petitio principii' or </w:t>
      </w:r>
      <w:r w:rsidRPr="00F94F3C">
        <w:rPr>
          <w:rStyle w:val="StyleUnderline"/>
          <w:highlight w:val="yellow"/>
        </w:rPr>
        <w:t>'beg</w:t>
      </w:r>
      <w:r w:rsidRPr="009C7FAE">
        <w:rPr>
          <w:sz w:val="8"/>
        </w:rPr>
        <w:t xml:space="preserve">ging </w:t>
      </w:r>
      <w:r w:rsidRPr="00F94F3C">
        <w:rPr>
          <w:rStyle w:val="StyleUnderline"/>
          <w:highlight w:val="yellow"/>
        </w:rPr>
        <w:t>the question'</w:t>
      </w:r>
      <w:r w:rsidRPr="009C7FAE">
        <w:rPr>
          <w:sz w:val="8"/>
          <w:highlight w:val="yellow"/>
        </w:rPr>
        <w:t xml:space="preserve"> </w:t>
      </w:r>
      <w:r w:rsidRPr="009C7FAE">
        <w:rPr>
          <w:sz w:val="8"/>
        </w:rPr>
        <w:t xml:space="preserve">(cf. Perelman/Olbrechts-Tyteca, 1983: 290ff.; Walton, 1994; 1996: 54). Moreover, Okamoto (1993: 439) quite correctly observes that, </w:t>
      </w:r>
      <w:r w:rsidRPr="00D027A8">
        <w:rPr>
          <w:rStyle w:val="StyleUnderline"/>
        </w:rPr>
        <w:t>by uttering 'equative' tautologies</w:t>
      </w:r>
      <w:r w:rsidRPr="009C7FAE">
        <w:rPr>
          <w:sz w:val="8"/>
        </w:rPr>
        <w:t xml:space="preserve"> ('A is A'), </w:t>
      </w:r>
      <w:r w:rsidRPr="00D027A8">
        <w:rPr>
          <w:rStyle w:val="StyleUnderline"/>
        </w:rPr>
        <w:t>'all argument over categorization is refused, and category immutability is simply insisted on with no logical explanation</w:t>
      </w:r>
      <w:r w:rsidRPr="009C7FAE">
        <w:rPr>
          <w:sz w:val="8"/>
        </w:rPr>
        <w:t xml:space="preserve">'. Likewise, in the case of disjunctive tautologies ('Either p or not p') </w:t>
      </w:r>
      <w:r w:rsidRPr="00D027A8">
        <w:rPr>
          <w:rStyle w:val="StyleUnderline"/>
        </w:rPr>
        <w:t xml:space="preserve">the danger of committing 'Black and White'-fallacies </w:t>
      </w:r>
      <w:r w:rsidRPr="003D2BC5">
        <w:rPr>
          <w:rStyle w:val="StyleUnderline"/>
        </w:rPr>
        <w:t>arises: only rarely are there only two contradictory alternatives</w:t>
      </w:r>
      <w:r w:rsidRPr="009C7FAE">
        <w:rPr>
          <w:sz w:val="8"/>
        </w:rPr>
        <w:t xml:space="preserve">. In most cases, </w:t>
      </w:r>
      <w:r w:rsidRPr="003D2BC5">
        <w:rPr>
          <w:rStyle w:val="StyleUnderline"/>
        </w:rPr>
        <w:t xml:space="preserve">at least a third </w:t>
      </w:r>
      <w:r w:rsidRPr="009C7FAE">
        <w:rPr>
          <w:b/>
          <w:bCs/>
          <w:sz w:val="8"/>
        </w:rPr>
        <w:t>alternative q</w:t>
      </w:r>
      <w:r w:rsidRPr="003D2BC5">
        <w:rPr>
          <w:rStyle w:val="StyleUnderline"/>
        </w:rPr>
        <w:t xml:space="preserve"> has to be considered</w:t>
      </w:r>
      <w:r w:rsidRPr="009C7FAE">
        <w:rPr>
          <w:sz w:val="8"/>
        </w:rPr>
        <w:t xml:space="preserve">. </w:t>
      </w:r>
      <w:r w:rsidRPr="003D2BC5">
        <w:rPr>
          <w:rStyle w:val="StyleUnderline"/>
        </w:rPr>
        <w:t>Therefo</w:t>
      </w:r>
      <w:r w:rsidRPr="00223609">
        <w:rPr>
          <w:rStyle w:val="StyleUnderline"/>
        </w:rPr>
        <w:t>re</w:t>
      </w:r>
      <w:r w:rsidRPr="00F94F3C">
        <w:rPr>
          <w:rStyle w:val="StyleUnderline"/>
          <w:highlight w:val="yellow"/>
        </w:rPr>
        <w:t xml:space="preserve">, arguments according to the </w:t>
      </w:r>
      <w:r w:rsidRPr="00223609">
        <w:rPr>
          <w:rStyle w:val="StyleUnderline"/>
        </w:rPr>
        <w:t>TA-</w:t>
      </w:r>
      <w:r w:rsidRPr="00F94F3C">
        <w:rPr>
          <w:rStyle w:val="StyleUnderline"/>
          <w:highlight w:val="yellow"/>
        </w:rPr>
        <w:t xml:space="preserve">pattern are only rationally acceptable if they are accompanied by additional evidence which justifies the assumption </w:t>
      </w:r>
      <w:r w:rsidRPr="00223609">
        <w:rPr>
          <w:rStyle w:val="StyleUnderline"/>
        </w:rPr>
        <w:t>of only one existing possibility</w:t>
      </w:r>
      <w:r w:rsidRPr="009C7FAE">
        <w:rPr>
          <w:sz w:val="8"/>
        </w:rPr>
        <w:t xml:space="preserve"> (cf. Mackenzie, 1994: 234f.; Colwell, 1994: 259 on similar requirements for apparently fallacious circular arguments). But in this case, </w:t>
      </w:r>
      <w:r w:rsidRPr="00223609">
        <w:rPr>
          <w:rStyle w:val="StyleUnderline"/>
        </w:rPr>
        <w:t>the tautological utterances are merely used as stylistic strategies which support and reinforce the power of the independently formulated justification of the controversial standpoint.</w:t>
      </w:r>
      <w:r w:rsidRPr="009C7FAE">
        <w:rPr>
          <w:sz w:val="8"/>
        </w:rPr>
        <w:t xml:space="preserve"> See the following example (Ward/ Hirschberg, 1991: 513), where a mother vehemently defends a liberal standpoint in education ('You should allow your children to go out in the evening') against possible counter arguments. Only in addition to her detailed arguments does she use a tautological utterance ('Kids are kids') to make them even stronger: 6. 'It was a normal, typical Saturday night,' said Catherine Belardo, an auburn-haired woman in a housecoat. 'They get dressed up, they go out together. I don't want people saying, 'Well where were her parents?' Her parents were here. Her mother was home her father was home. You can't keep your kids in a tube. They go out. Kids are kids. You have to show them you trust them. Then they go out the door and who knows, really, what can happen? You tell them to walk in groups. You tell them to walk where it's light. You tell them never to talk to strangers. And they did everything they were told.' (Philadelphia Inquirer, 15 February 1985) In this example, C. Belardo provides enough additional arguments to make the implicit conclusion of the tautological utterance 'Kids are kids' quite plausible, namely, that there is no possible alternative like, for instance,'Kids are adults' or 'Kids can be educated in a way that they behave like adults though still being kids'. That arguments according to the TA-scheme are far from being trivially true and convincing can also be shown ('ex contrario') with examples for self-contradictory, yet sensible utterances of the type 'A is not A'. Though apparently being necessarily false, these utterances can nevertheless be used as stylistic devices for stressing differences between seemingly identical tokens of category A. This should not be possible, </w:t>
      </w:r>
      <w:r w:rsidRPr="00DD1A76">
        <w:rPr>
          <w:rStyle w:val="StyleUnderline"/>
        </w:rPr>
        <w:t>if tautologies, like in formal logic, would be trivially true, and contradictions, like logical antinomies, would be trivially false by definition. However</w:t>
      </w:r>
      <w:r w:rsidRPr="00F94F3C">
        <w:rPr>
          <w:rStyle w:val="StyleUnderline"/>
          <w:highlight w:val="yellow"/>
        </w:rPr>
        <w:t xml:space="preserve">, in natural language, certain </w:t>
      </w:r>
      <w:r w:rsidRPr="00D027A8">
        <w:rPr>
          <w:rStyle w:val="StyleUnderline"/>
          <w:highlight w:val="yellow"/>
        </w:rPr>
        <w:t xml:space="preserve">contradictory utterances, </w:t>
      </w:r>
      <w:r w:rsidRPr="009C7FAE">
        <w:rPr>
          <w:b/>
          <w:bCs/>
          <w:sz w:val="8"/>
        </w:rPr>
        <w:t>which I prefer to call 'rhetorical paradoxes'</w:t>
      </w:r>
      <w:r w:rsidRPr="00D027A8">
        <w:rPr>
          <w:rStyle w:val="StyleUnderline"/>
        </w:rPr>
        <w:t xml:space="preserve">, </w:t>
      </w:r>
      <w:r w:rsidRPr="00D027A8">
        <w:rPr>
          <w:rStyle w:val="StyleUnderline"/>
          <w:highlight w:val="yellow"/>
        </w:rPr>
        <w:t xml:space="preserve">are </w:t>
      </w:r>
      <w:r w:rsidRPr="009C7FAE">
        <w:rPr>
          <w:b/>
          <w:bCs/>
          <w:sz w:val="8"/>
        </w:rPr>
        <w:t>frequently used as quite</w:t>
      </w:r>
      <w:r w:rsidRPr="00D027A8">
        <w:rPr>
          <w:rStyle w:val="StyleUnderline"/>
        </w:rPr>
        <w:t xml:space="preserve"> </w:t>
      </w:r>
      <w:r w:rsidRPr="00D027A8">
        <w:rPr>
          <w:rStyle w:val="StyleUnderline"/>
          <w:highlight w:val="yellow"/>
        </w:rPr>
        <w:t>acceptable</w:t>
      </w:r>
      <w:r w:rsidRPr="00F94F3C">
        <w:rPr>
          <w:rStyle w:val="StyleUnderline"/>
          <w:highlight w:val="yellow"/>
        </w:rPr>
        <w:t xml:space="preserve"> </w:t>
      </w:r>
      <w:r w:rsidRPr="00223609">
        <w:rPr>
          <w:rStyle w:val="StyleUnderline"/>
        </w:rPr>
        <w:t>stylistic</w:t>
      </w:r>
      <w:r w:rsidRPr="00F94F3C">
        <w:rPr>
          <w:rStyle w:val="StyleUnderline"/>
          <w:highlight w:val="yellow"/>
        </w:rPr>
        <w:t xml:space="preserve"> devices of </w:t>
      </w:r>
      <w:r w:rsidRPr="00223609">
        <w:rPr>
          <w:rStyle w:val="StyleUnderline"/>
        </w:rPr>
        <w:t xml:space="preserve">everyday </w:t>
      </w:r>
      <w:r w:rsidRPr="00F94F3C">
        <w:rPr>
          <w:rStyle w:val="StyleUnderline"/>
          <w:highlight w:val="yellow"/>
        </w:rPr>
        <w:t>argumentation</w:t>
      </w:r>
      <w:r w:rsidRPr="009C7FAE">
        <w:rPr>
          <w:sz w:val="8"/>
        </w:rPr>
        <w:t xml:space="preserve">. See the following three examples in German, taken from a TV talk show and advertisements (cf. Kienpointner, 1983: 95; 1992; 328): 7. Nenning: ... vielleicht ist des a Ant/ah eine Art Antwort, Herr Schroder, net, i mein, Arbeit und Arbeit is net unbedingt dasselbe. (Club II, 12 February 1980) 8. Tee ist nicht gleich Tee. Zum Beispiel Tee aus Kenia: Liebe und Sorgfalt lassen auf charaktervollem Boden unverwechselbare Qualitat gedeihen Stern, 7 April 1983) 9. Indien ist nicht gleich Indien. Und Indien-Rundreise nicht gleich IndienRundreise. Dazwischen k6nnen Welten liegen. Nicht etwa im Sinne von zurickgelegten Kilometem, was wir hier meinen, ist- Qualitat. (Profil, 21 October 1985) In all three passages, the apparently clear contradictions 'Arbeit und Arbeit is net unbedingt dasselbe' (lit.: 'Job and job isn't necessarily the same thing', that is, 'A job isn't a job'), 'Tee ist nicht gleich Tee' ('Tea is not tea'), 'Indien ist nicht gleich Indien. Und Indien-Rundreise nicht gleich Indien-Rundreise' (lit.: 'India is not the same as India. And tour of India is not the same as tour of India') make sense, given the context and the additional arguments provided in the context. In 7, the speaker defends a drug addict against the reproach that the latter does not want to work regularly. </w:t>
      </w:r>
      <w:r w:rsidRPr="00D027A8">
        <w:rPr>
          <w:rStyle w:val="StyleUnderline"/>
        </w:rPr>
        <w:t xml:space="preserve">Using the paradoxical </w:t>
      </w:r>
      <w:r w:rsidRPr="003D2BC5">
        <w:rPr>
          <w:rStyle w:val="StyleUnderline"/>
        </w:rPr>
        <w:t>formula 'A job isn't a job',</w:t>
      </w:r>
      <w:r w:rsidRPr="009C7FAE">
        <w:rPr>
          <w:sz w:val="8"/>
        </w:rPr>
        <w:t xml:space="preserve"> Nenning </w:t>
      </w:r>
      <w:r w:rsidRPr="003D2BC5">
        <w:rPr>
          <w:rStyle w:val="StyleUnderline"/>
        </w:rPr>
        <w:t>takes up previous remarks where he pointed out differences between more and less attractive opportunities for work.</w:t>
      </w:r>
      <w:r w:rsidRPr="009C7FAE">
        <w:rPr>
          <w:sz w:val="8"/>
        </w:rPr>
        <w:t xml:space="preserve"> In 8 and 9, the respective enterprises try to point out differences in quality between their own products (tea, tours of India) via rhetorical paradoxes. </w:t>
      </w:r>
      <w:r w:rsidRPr="003D2BC5">
        <w:rPr>
          <w:rStyle w:val="StyleUnderline"/>
        </w:rPr>
        <w:t>All these examples show that in everyday argumentation, different from formal logic, contradictions</w:t>
      </w:r>
      <w:r w:rsidRPr="00D027A8">
        <w:rPr>
          <w:rStyle w:val="StyleUnderline"/>
        </w:rPr>
        <w:t xml:space="preserve"> can make sense</w:t>
      </w:r>
      <w:r w:rsidRPr="009C7FAE">
        <w:rPr>
          <w:sz w:val="8"/>
        </w:rPr>
        <w:t xml:space="preserve">. Generally speaking, </w:t>
      </w:r>
      <w:r w:rsidRPr="00223609">
        <w:rPr>
          <w:rStyle w:val="StyleUnderline"/>
          <w:highlight w:val="yellow"/>
        </w:rPr>
        <w:t xml:space="preserve">it completely depends on the verbal context </w:t>
      </w:r>
      <w:r w:rsidRPr="003D2BC5">
        <w:rPr>
          <w:rStyle w:val="StyleUnderline"/>
        </w:rPr>
        <w:t>whether tautologies and contradictions are to be accepted or rejected.</w:t>
      </w:r>
      <w:r w:rsidRPr="009C7FAE">
        <w:rPr>
          <w:sz w:val="8"/>
        </w:rPr>
        <w:t xml:space="preserve"> A final critical remark I would like to make brings us directly back to the link between language, world view, and argumentation. </w:t>
      </w:r>
      <w:r w:rsidRPr="003D2BC5">
        <w:rPr>
          <w:rStyle w:val="StyleUnderline"/>
        </w:rPr>
        <w:t>Tautologies often convey stereotyped assumptions about states of affairs, values, social groups</w:t>
      </w:r>
      <w:r w:rsidRPr="009C7FAE">
        <w:rPr>
          <w:sz w:val="8"/>
        </w:rPr>
        <w:t xml:space="preserve"> etc., which belong to the stock of shared assumptions in a speech community (cf. </w:t>
      </w:r>
      <w:r w:rsidRPr="003D2BC5">
        <w:rPr>
          <w:rStyle w:val="StyleUnderline"/>
        </w:rPr>
        <w:t>'Business is business', 'A job is a job', 'War is war', 'Boys will be boys', 'Girls will be girls'</w:t>
      </w:r>
      <w:r w:rsidRPr="009C7FAE">
        <w:rPr>
          <w:sz w:val="8"/>
        </w:rPr>
        <w:t xml:space="preserve"> etc.). This is especially important if the tautologies are not newly created in a specific communicative interaction, but belong to the traditional norm of a language (in the sense of Coseriu, cf. ch. 3). </w:t>
      </w:r>
      <w:r w:rsidRPr="0014470B">
        <w:rPr>
          <w:rStyle w:val="StyleUnderline"/>
        </w:rPr>
        <w:t xml:space="preserve">Due to the apparently compelling logical form, these </w:t>
      </w:r>
      <w:r w:rsidRPr="00223609">
        <w:rPr>
          <w:rStyle w:val="StyleUnderline"/>
          <w:highlight w:val="yellow"/>
        </w:rPr>
        <w:t xml:space="preserve">tautologies </w:t>
      </w:r>
      <w:r w:rsidRPr="00223609">
        <w:rPr>
          <w:rStyle w:val="StyleUnderline"/>
        </w:rPr>
        <w:t xml:space="preserve">can effectively </w:t>
      </w:r>
      <w:r w:rsidRPr="00D027A8">
        <w:rPr>
          <w:rStyle w:val="StyleUnderline"/>
          <w:highlight w:val="yellow"/>
        </w:rPr>
        <w:t>reinforce standard ideologies in a society</w:t>
      </w:r>
      <w:r w:rsidRPr="00223609">
        <w:rPr>
          <w:rStyle w:val="StyleUnderline"/>
          <w:highlight w:val="yellow"/>
        </w:rPr>
        <w:t xml:space="preserve"> because they seem to express unquestionable facts </w:t>
      </w:r>
      <w:r w:rsidRPr="00223609">
        <w:rPr>
          <w:rStyle w:val="StyleUnderline"/>
        </w:rPr>
        <w:t>or values</w:t>
      </w:r>
      <w:r w:rsidRPr="009C7FAE">
        <w:rPr>
          <w:sz w:val="8"/>
        </w:rPr>
        <w:t xml:space="preserve">. The clear weaknesses of arguments according to the TA-scheme notwithstanding, powerful groups, which are often at the same time majority groups, can use them to immunize conservative or even fundamentalist standpoints (cf.: </w:t>
      </w:r>
      <w:r w:rsidRPr="00223609">
        <w:rPr>
          <w:rStyle w:val="StyleUnderline"/>
        </w:rPr>
        <w:t>'There will always be bad jobs, so there is no need to provide higher education for everybody'; 'There will always be natural differences between boys and girls, so there is no need for equal opportunities in the educational system'</w:t>
      </w:r>
      <w:r w:rsidRPr="009C7FAE">
        <w:rPr>
          <w:sz w:val="8"/>
        </w:rPr>
        <w:t>).</w:t>
      </w:r>
    </w:p>
    <w:p w14:paraId="176C2858" w14:textId="77777777" w:rsidR="00D31E39" w:rsidRPr="00E855E5" w:rsidRDefault="00D31E39" w:rsidP="00D31E39">
      <w:pPr>
        <w:pStyle w:val="Heading4"/>
      </w:pPr>
      <w:r>
        <w:t>[4] Policymaking: Discursive practices</w:t>
      </w:r>
      <w:r w:rsidRPr="00E855E5">
        <w:t xml:space="preserve"> </w:t>
      </w:r>
      <w:r>
        <w:t xml:space="preserve">shapes political action </w:t>
      </w:r>
    </w:p>
    <w:p w14:paraId="2B546BE5" w14:textId="77777777" w:rsidR="00D31E39" w:rsidRPr="003B1E13" w:rsidRDefault="00D31E39" w:rsidP="00D31E39">
      <w:pPr>
        <w:rPr>
          <w:b/>
          <w:bCs/>
          <w:sz w:val="26"/>
          <w:u w:val="single"/>
        </w:rPr>
      </w:pPr>
      <w:r>
        <w:rPr>
          <w:rStyle w:val="Style13ptBold"/>
        </w:rPr>
        <w:t xml:space="preserve">Sunderland 3 - </w:t>
      </w:r>
      <w:r w:rsidRPr="00E855E5">
        <w:rPr>
          <w:rStyle w:val="Style13ptBold"/>
        </w:rPr>
        <w:t xml:space="preserve">Naomi Sunderland, </w:t>
      </w:r>
      <w:r>
        <w:rPr>
          <w:rStyle w:val="Style13ptBold"/>
        </w:rPr>
        <w:t xml:space="preserve">Centre for Social Change Research, </w:t>
      </w:r>
      <w:r w:rsidRPr="00E855E5">
        <w:rPr>
          <w:rStyle w:val="Style13ptBold"/>
        </w:rPr>
        <w:t xml:space="preserve">Queensland University of Technology, </w:t>
      </w:r>
      <w:r>
        <w:rPr>
          <w:rStyle w:val="Style13ptBold"/>
        </w:rPr>
        <w:t xml:space="preserve">July </w:t>
      </w:r>
      <w:r w:rsidRPr="00E855E5">
        <w:rPr>
          <w:rStyle w:val="Style13ptBold"/>
        </w:rPr>
        <w:t>2003</w:t>
      </w:r>
      <w:r>
        <w:t xml:space="preserve"> </w:t>
      </w:r>
      <w:r w:rsidRPr="001B369E">
        <w:t xml:space="preserve">“BIOTECHNOLOGY AS MEDIA: A CRITICAL STUDY OF THE MOVEMENT OF MEANINGS ASSOCIATED WITH CONTEMPORARY BIOTECHNOLOGY” </w:t>
      </w:r>
      <w:r>
        <w:t>[</w:t>
      </w:r>
      <w:r w:rsidRPr="003B1E13">
        <w:t>https://eprints.qut.edu.au/16705/1/Naomi_Sunderland_Thesis.pdf] cdm/SAO</w:t>
      </w:r>
      <w:r>
        <w:t xml:space="preserve"> Accessed 9/21/21</w:t>
      </w:r>
    </w:p>
    <w:p w14:paraId="60BC054F" w14:textId="77777777" w:rsidR="00D31E39" w:rsidRPr="003B1E13" w:rsidRDefault="00D31E39" w:rsidP="00D31E39">
      <w:pPr>
        <w:rPr>
          <w:sz w:val="12"/>
        </w:rPr>
      </w:pPr>
      <w:r w:rsidRPr="003B1E13">
        <w:rPr>
          <w:sz w:val="12"/>
        </w:rPr>
        <w:t xml:space="preserve">Fairclough (1992) states that </w:t>
      </w:r>
      <w:r w:rsidRPr="001B369E">
        <w:rPr>
          <w:rStyle w:val="StyleUnderline"/>
          <w:highlight w:val="yellow"/>
        </w:rPr>
        <w:t xml:space="preserve">discursive </w:t>
      </w:r>
      <w:r w:rsidRPr="00C111BB">
        <w:rPr>
          <w:rStyle w:val="StyleUnderline"/>
          <w:highlight w:val="yellow"/>
        </w:rPr>
        <w:t>practice is ‘constitutive</w:t>
      </w:r>
      <w:r w:rsidRPr="00F70C2F">
        <w:rPr>
          <w:rStyle w:val="StyleUnderline"/>
        </w:rPr>
        <w:t xml:space="preserve"> </w:t>
      </w:r>
      <w:r w:rsidRPr="003B1E13">
        <w:rPr>
          <w:sz w:val="12"/>
        </w:rPr>
        <w:t>in both conventional and creative ways: it contributes</w:t>
      </w:r>
      <w:r w:rsidRPr="008421B7">
        <w:rPr>
          <w:rStyle w:val="StyleUnderline"/>
        </w:rPr>
        <w:t xml:space="preserve"> </w:t>
      </w:r>
      <w:r w:rsidRPr="008421B7">
        <w:rPr>
          <w:rStyle w:val="StyleUnderline"/>
          <w:highlight w:val="yellow"/>
        </w:rPr>
        <w:t>to</w:t>
      </w:r>
      <w:r w:rsidRPr="003B1E13">
        <w:rPr>
          <w:sz w:val="12"/>
        </w:rPr>
        <w:t xml:space="preserve"> reproducing society…as it is, yet also contributes to </w:t>
      </w:r>
      <w:r w:rsidRPr="008421B7">
        <w:rPr>
          <w:rStyle w:val="StyleUnderline"/>
          <w:highlight w:val="yellow"/>
        </w:rPr>
        <w:t>transforming society’</w:t>
      </w:r>
      <w:r w:rsidRPr="003B1E13">
        <w:rPr>
          <w:sz w:val="12"/>
        </w:rPr>
        <w:t xml:space="preserve">. He makes an example of education practice: ‘For example, the identities of </w:t>
      </w:r>
      <w:r w:rsidRPr="001B369E">
        <w:rPr>
          <w:rStyle w:val="StyleUnderline"/>
          <w:highlight w:val="yellow"/>
        </w:rPr>
        <w:t>teachers and pupils and the relationships between</w:t>
      </w:r>
      <w:r w:rsidRPr="003B1E13">
        <w:rPr>
          <w:sz w:val="12"/>
        </w:rPr>
        <w:t xml:space="preserve"> </w:t>
      </w:r>
      <w:r w:rsidRPr="001B369E">
        <w:rPr>
          <w:rStyle w:val="StyleUnderline"/>
          <w:highlight w:val="yellow"/>
        </w:rPr>
        <w:t>them</w:t>
      </w:r>
      <w:r w:rsidRPr="003B1E13">
        <w:rPr>
          <w:sz w:val="12"/>
        </w:rPr>
        <w:t xml:space="preserve"> which are at the heart of a system of education </w:t>
      </w:r>
      <w:r w:rsidRPr="008421B7">
        <w:rPr>
          <w:rStyle w:val="StyleUnderline"/>
          <w:highlight w:val="yellow"/>
        </w:rPr>
        <w:t>depend upon</w:t>
      </w:r>
      <w:r w:rsidRPr="003B1E13">
        <w:rPr>
          <w:sz w:val="12"/>
          <w:highlight w:val="yellow"/>
        </w:rPr>
        <w:t xml:space="preserve"> </w:t>
      </w:r>
      <w:r w:rsidRPr="003B1E13">
        <w:rPr>
          <w:sz w:val="12"/>
        </w:rPr>
        <w:t xml:space="preserve">a consistency and durability of patterns of </w:t>
      </w:r>
      <w:r w:rsidRPr="008421B7">
        <w:rPr>
          <w:rStyle w:val="StyleUnderline"/>
          <w:highlight w:val="yellow"/>
        </w:rPr>
        <w:t>speech</w:t>
      </w:r>
      <w:r w:rsidRPr="003B1E13">
        <w:rPr>
          <w:sz w:val="12"/>
          <w:highlight w:val="yellow"/>
        </w:rPr>
        <w:t xml:space="preserve"> </w:t>
      </w:r>
      <w:r w:rsidRPr="003B1E13">
        <w:rPr>
          <w:sz w:val="12"/>
        </w:rPr>
        <w:t xml:space="preserve">within and around those relationships for their reproduction. Yet they </w:t>
      </w:r>
      <w:r w:rsidRPr="008421B7">
        <w:rPr>
          <w:rStyle w:val="StyleUnderline"/>
        </w:rPr>
        <w:t>are open to transformations</w:t>
      </w:r>
      <w:r w:rsidRPr="003B1E13">
        <w:rPr>
          <w:sz w:val="12"/>
        </w:rPr>
        <w:t xml:space="preserve"> which may partly originate in discourse: </w:t>
      </w:r>
      <w:r w:rsidRPr="001B369E">
        <w:rPr>
          <w:rStyle w:val="StyleUnderline"/>
          <w:highlight w:val="yellow"/>
        </w:rPr>
        <w:t>in</w:t>
      </w:r>
      <w:r w:rsidRPr="003B1E13">
        <w:rPr>
          <w:sz w:val="12"/>
        </w:rPr>
        <w:t xml:space="preserve"> the speech of the classroom, the playground, the staffroom, </w:t>
      </w:r>
      <w:r w:rsidRPr="008421B7">
        <w:rPr>
          <w:rStyle w:val="StyleUnderline"/>
          <w:highlight w:val="yellow"/>
        </w:rPr>
        <w:t>educational debate</w:t>
      </w:r>
      <w:r w:rsidRPr="003B1E13">
        <w:rPr>
          <w:sz w:val="12"/>
        </w:rPr>
        <w:t xml:space="preserve">, and so forth’ (p. 65). Most importantly, Fairclough’s example reinforces that the relationship between students and their </w:t>
      </w:r>
      <w:r w:rsidRPr="003B1E13">
        <w:rPr>
          <w:sz w:val="12"/>
        </w:rPr>
        <w:lastRenderedPageBreak/>
        <w:t xml:space="preserve">teachers in this example is influenced by the way in which they are described. In a similar manner, </w:t>
      </w:r>
      <w:r w:rsidRPr="001B369E">
        <w:rPr>
          <w:rStyle w:val="StyleUnderline"/>
          <w:highlight w:val="yellow"/>
        </w:rPr>
        <w:t>critical awareness of the language of biotechnology</w:t>
      </w:r>
      <w:r w:rsidRPr="003B1E13">
        <w:rPr>
          <w:sz w:val="12"/>
        </w:rPr>
        <w:t xml:space="preserve"> research and commercialisation </w:t>
      </w:r>
      <w:r w:rsidRPr="001B369E">
        <w:rPr>
          <w:rStyle w:val="StyleUnderline"/>
          <w:highlight w:val="yellow"/>
        </w:rPr>
        <w:t>is</w:t>
      </w:r>
      <w:r w:rsidRPr="003B1E13">
        <w:rPr>
          <w:sz w:val="12"/>
        </w:rPr>
        <w:t xml:space="preserve"> urgently </w:t>
      </w:r>
      <w:r w:rsidRPr="001B369E">
        <w:rPr>
          <w:rStyle w:val="StyleUnderline"/>
          <w:highlight w:val="yellow"/>
        </w:rPr>
        <w:t>required</w:t>
      </w:r>
      <w:r w:rsidRPr="003B1E13">
        <w:rPr>
          <w:sz w:val="12"/>
        </w:rPr>
        <w:t xml:space="preserve"> in order </w:t>
      </w:r>
      <w:r w:rsidRPr="001B369E">
        <w:rPr>
          <w:rStyle w:val="StyleUnderline"/>
          <w:highlight w:val="yellow"/>
        </w:rPr>
        <w:t xml:space="preserve">to challenge the linearity of </w:t>
      </w:r>
      <w:r w:rsidRPr="003B1E13">
        <w:rPr>
          <w:rStyle w:val="StyleUnderline"/>
        </w:rPr>
        <w:t xml:space="preserve">biotechnology mediation processes toward </w:t>
      </w:r>
      <w:r w:rsidRPr="003B1E13">
        <w:rPr>
          <w:rStyle w:val="StyleUnderline"/>
          <w:highlight w:val="yellow"/>
        </w:rPr>
        <w:t>absorption</w:t>
      </w:r>
      <w:r w:rsidRPr="003B1E13">
        <w:rPr>
          <w:sz w:val="12"/>
        </w:rPr>
        <w:t xml:space="preserve">. Transformation in biotechnology and its related practices will require critical language awareness in order to render visible the assumptions and values that underlay, produce and reproduce the practice (Gee and Lankshear, 1995). </w:t>
      </w:r>
      <w:r w:rsidRPr="005A15E0">
        <w:rPr>
          <w:rStyle w:val="StyleUnderline"/>
        </w:rPr>
        <w:t>Critical</w:t>
      </w:r>
      <w:r w:rsidRPr="003B1E13">
        <w:rPr>
          <w:sz w:val="12"/>
        </w:rPr>
        <w:t xml:space="preserve"> language </w:t>
      </w:r>
      <w:r w:rsidRPr="005A15E0">
        <w:rPr>
          <w:rStyle w:val="StyleUnderline"/>
        </w:rPr>
        <w:t>awareness requires</w:t>
      </w:r>
      <w:r w:rsidRPr="003B1E13">
        <w:rPr>
          <w:sz w:val="12"/>
        </w:rPr>
        <w:t>: ‘</w:t>
      </w:r>
      <w:r w:rsidRPr="005A15E0">
        <w:rPr>
          <w:rStyle w:val="StyleUnderline"/>
        </w:rPr>
        <w:t>teasing out</w:t>
      </w:r>
      <w:r w:rsidRPr="003B1E13">
        <w:rPr>
          <w:sz w:val="12"/>
        </w:rPr>
        <w:t xml:space="preserve"> the possible meanings of </w:t>
      </w:r>
      <w:r w:rsidRPr="005A15E0">
        <w:rPr>
          <w:rStyle w:val="StyleUnderline"/>
        </w:rPr>
        <w:t>socially contested terms</w:t>
      </w:r>
      <w:r w:rsidRPr="003B1E13">
        <w:rPr>
          <w:sz w:val="12"/>
        </w:rPr>
        <w:t xml:space="preserve"> can give rise to sets of questions and issues </w:t>
      </w:r>
      <w:r w:rsidRPr="001B369E">
        <w:rPr>
          <w:rStyle w:val="StyleUnderline"/>
          <w:highlight w:val="yellow"/>
        </w:rPr>
        <w:t>for debate</w:t>
      </w:r>
      <w:r w:rsidRPr="003B1E13">
        <w:rPr>
          <w:sz w:val="12"/>
        </w:rPr>
        <w:t xml:space="preserve"> and dialogue among Discourses, as well as deeper understanding of the values and ideological loadings that are at stake’ (Gee and Lankshear, 1995, p. 12). Consonant with Gee and Lankshear’s notion of critical language awareness, Isaacs (1996, p. 39) and Gilbert (1987, p. 52) advocate the need for critical practice. </w:t>
      </w:r>
      <w:r w:rsidRPr="001B369E">
        <w:rPr>
          <w:rStyle w:val="StyleUnderline"/>
          <w:highlight w:val="yellow"/>
        </w:rPr>
        <w:t>Critical practice requires</w:t>
      </w:r>
      <w:r w:rsidRPr="003B1E13">
        <w:rPr>
          <w:sz w:val="12"/>
        </w:rPr>
        <w:t xml:space="preserve"> a condition of </w:t>
      </w:r>
      <w:r w:rsidRPr="001B369E">
        <w:rPr>
          <w:rStyle w:val="StyleUnderline"/>
          <w:highlight w:val="yellow"/>
        </w:rPr>
        <w:t>anti-hegemonic</w:t>
      </w:r>
      <w:r w:rsidRPr="003B1E13">
        <w:rPr>
          <w:sz w:val="12"/>
        </w:rPr>
        <w:t xml:space="preserve"> formal and informal </w:t>
      </w:r>
      <w:r w:rsidRPr="001B369E">
        <w:rPr>
          <w:rStyle w:val="StyleUnderline"/>
          <w:highlight w:val="yellow"/>
        </w:rPr>
        <w:t>practice</w:t>
      </w:r>
      <w:r w:rsidRPr="003B1E13">
        <w:rPr>
          <w:sz w:val="12"/>
        </w:rPr>
        <w:t xml:space="preserve"> ‘</w:t>
      </w:r>
      <w:r w:rsidRPr="001B369E">
        <w:rPr>
          <w:rStyle w:val="StyleUnderline"/>
          <w:highlight w:val="yellow"/>
        </w:rPr>
        <w:t xml:space="preserve">if it is to produce </w:t>
      </w:r>
      <w:r w:rsidRPr="00CD61E7">
        <w:rPr>
          <w:rStyle w:val="StyleUnderline"/>
        </w:rPr>
        <w:t xml:space="preserve">policies and </w:t>
      </w:r>
      <w:r w:rsidRPr="001B369E">
        <w:rPr>
          <w:rStyle w:val="StyleUnderline"/>
          <w:highlight w:val="yellow"/>
        </w:rPr>
        <w:t>political action’</w:t>
      </w:r>
      <w:r w:rsidRPr="003B1E13">
        <w:rPr>
          <w:sz w:val="12"/>
        </w:rPr>
        <w:t xml:space="preserve"> (Gilbert, 1987, p. 52). Essentially, </w:t>
      </w:r>
      <w:r w:rsidRPr="005A15E0">
        <w:rPr>
          <w:rStyle w:val="StyleUnderline"/>
        </w:rPr>
        <w:t>anti-hegemonic practice requires</w:t>
      </w:r>
      <w:r w:rsidRPr="003B1E13">
        <w:rPr>
          <w:sz w:val="12"/>
        </w:rPr>
        <w:t xml:space="preserve"> that </w:t>
      </w:r>
      <w:r w:rsidRPr="005A15E0">
        <w:rPr>
          <w:rStyle w:val="StyleUnderline"/>
        </w:rPr>
        <w:t>alternatives</w:t>
      </w:r>
      <w:r w:rsidRPr="003B1E13">
        <w:rPr>
          <w:sz w:val="12"/>
        </w:rPr>
        <w:t xml:space="preserve"> </w:t>
      </w:r>
      <w:r w:rsidRPr="005A15E0">
        <w:rPr>
          <w:rStyle w:val="StyleUnderline"/>
        </w:rPr>
        <w:t>to</w:t>
      </w:r>
      <w:r w:rsidRPr="003B1E13">
        <w:rPr>
          <w:sz w:val="12"/>
        </w:rPr>
        <w:t xml:space="preserve"> the current conception of the purpose, means and culture of the </w:t>
      </w:r>
      <w:r w:rsidRPr="005A15E0">
        <w:rPr>
          <w:rStyle w:val="StyleUnderline"/>
        </w:rPr>
        <w:t>dominant</w:t>
      </w:r>
      <w:r w:rsidRPr="003B1E13">
        <w:rPr>
          <w:sz w:val="12"/>
        </w:rPr>
        <w:t xml:space="preserve"> </w:t>
      </w:r>
      <w:r w:rsidRPr="005A15E0">
        <w:rPr>
          <w:rStyle w:val="StyleUnderline"/>
        </w:rPr>
        <w:t>discourses</w:t>
      </w:r>
      <w:r w:rsidRPr="003B1E13">
        <w:rPr>
          <w:sz w:val="12"/>
        </w:rPr>
        <w:t xml:space="preserve"> are made available through the everyday lived experiences on offer. Critical discourse awareness, as opposed to critical language awareness, incorporates a more overt focus on the relationships between ways of using language, ways of seeing, being, valuing, and acting. </w:t>
      </w:r>
      <w:r w:rsidRPr="005A15E0">
        <w:rPr>
          <w:rStyle w:val="StyleUnderline"/>
        </w:rPr>
        <w:t>As members of an engaged community</w:t>
      </w:r>
      <w:r w:rsidRPr="003B1E13">
        <w:rPr>
          <w:sz w:val="12"/>
        </w:rPr>
        <w:t xml:space="preserve"> of scholars, researchers, and activists </w:t>
      </w:r>
      <w:r w:rsidRPr="005A15E0">
        <w:rPr>
          <w:rStyle w:val="StyleUnderline"/>
        </w:rPr>
        <w:t>that seeks to</w:t>
      </w:r>
      <w:r w:rsidRPr="003B1E13">
        <w:rPr>
          <w:sz w:val="12"/>
        </w:rPr>
        <w:t xml:space="preserve"> practice and </w:t>
      </w:r>
      <w:r w:rsidRPr="005A15E0">
        <w:rPr>
          <w:rStyle w:val="StyleUnderline"/>
        </w:rPr>
        <w:t>facilitate</w:t>
      </w:r>
      <w:r w:rsidRPr="003B1E13">
        <w:rPr>
          <w:sz w:val="12"/>
        </w:rPr>
        <w:t xml:space="preserve"> open and authentic </w:t>
      </w:r>
      <w:r w:rsidRPr="005A15E0">
        <w:rPr>
          <w:rStyle w:val="StyleUnderline"/>
        </w:rPr>
        <w:t>discussion surrounding biotechnology</w:t>
      </w:r>
      <w:r w:rsidRPr="003B1E13">
        <w:rPr>
          <w:sz w:val="12"/>
        </w:rPr>
        <w:t xml:space="preserve"> developments, </w:t>
      </w:r>
      <w:r w:rsidRPr="005A15E0">
        <w:rPr>
          <w:rStyle w:val="StyleUnderline"/>
        </w:rPr>
        <w:t>it is important</w:t>
      </w:r>
      <w:r w:rsidRPr="003B1E13">
        <w:rPr>
          <w:sz w:val="12"/>
        </w:rPr>
        <w:t xml:space="preserve"> that </w:t>
      </w:r>
      <w:r w:rsidRPr="005A15E0">
        <w:rPr>
          <w:rStyle w:val="StyleUnderline"/>
        </w:rPr>
        <w:t>we</w:t>
      </w:r>
      <w:r w:rsidRPr="003B1E13">
        <w:rPr>
          <w:sz w:val="12"/>
        </w:rPr>
        <w:t xml:space="preserve"> name, discuss, </w:t>
      </w:r>
      <w:r w:rsidRPr="005A15E0">
        <w:rPr>
          <w:rStyle w:val="StyleUnderline"/>
        </w:rPr>
        <w:t>critique, and seek to transform the technologies of silence</w:t>
      </w:r>
      <w:r w:rsidRPr="003B1E13">
        <w:rPr>
          <w:sz w:val="12"/>
        </w:rPr>
        <w:t xml:space="preserve"> at work in biotechnology related debates and other areas of social contestation. In many ways this is a personal challenge as much as it is a social or an institutional one: we ourselves may need to overcome any number of personal and institutional limitations that would in many other circumstances, and for many quite legitimate reasons, function to silence or intimidate us. I do not want to pretend that this is an easy task</w:t>
      </w:r>
    </w:p>
    <w:p w14:paraId="28248EBA" w14:textId="77777777" w:rsidR="00D31E39" w:rsidRPr="000B0D69" w:rsidRDefault="00D31E39" w:rsidP="00D31E39">
      <w:pPr>
        <w:pStyle w:val="Heading4"/>
      </w:pPr>
      <w:r>
        <w:t>[5] Subversion: We manipulate the</w:t>
      </w:r>
      <w:r w:rsidRPr="000B0D69">
        <w:t xml:space="preserve"> academy</w:t>
      </w:r>
      <w:r>
        <w:t xml:space="preserve"> into</w:t>
      </w:r>
      <w:r w:rsidRPr="000B0D69">
        <w:t xml:space="preserve"> making space for </w:t>
      </w:r>
      <w:r>
        <w:t>minoritarian</w:t>
      </w:r>
      <w:r w:rsidRPr="000B0D69">
        <w:t xml:space="preserve"> thought</w:t>
      </w:r>
    </w:p>
    <w:p w14:paraId="1D84460C" w14:textId="77777777" w:rsidR="00D31E39" w:rsidRPr="00831A64" w:rsidRDefault="00D31E39" w:rsidP="00D31E39">
      <w:pPr>
        <w:rPr>
          <w:sz w:val="16"/>
        </w:rPr>
      </w:pPr>
      <w:r w:rsidRPr="00831A64">
        <w:rPr>
          <w:rStyle w:val="Style13ptBold"/>
          <w:highlight w:val="yellow"/>
        </w:rPr>
        <w:t>Paperson 17</w:t>
      </w:r>
      <w:r w:rsidRPr="00831A64">
        <w:rPr>
          <w:rStyle w:val="Style13ptBold"/>
        </w:rPr>
        <w:t xml:space="preserve"> - la paperson, June 1, 2017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767FF0FB" w14:textId="77777777" w:rsidR="00D31E39" w:rsidRDefault="00D31E39" w:rsidP="00D31E39">
      <w:pPr>
        <w:rPr>
          <w:rStyle w:val="StyleUnderline"/>
        </w:rPr>
      </w:pPr>
      <w:r w:rsidRPr="009705E6">
        <w:rPr>
          <w:sz w:val="8"/>
        </w:rPr>
        <w:t>It is in Ferguson’s frame of queer desiring machines that I consider the scyborg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b/>
          <w:bCs/>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b/>
          <w:bCs/>
          <w:highlight w:val="yellow"/>
        </w:rPr>
        <w:t>disloyal</w:t>
      </w:r>
      <w:r w:rsidRPr="00831A64">
        <w:rPr>
          <w:rStyle w:val="StyleUnderline"/>
          <w:highlight w:val="yellow"/>
        </w:rPr>
        <w:t>.</w:t>
      </w:r>
      <w:r w:rsidRPr="009705E6">
        <w:rPr>
          <w:sz w:val="8"/>
          <w:highlight w:val="yellow"/>
        </w:rPr>
        <w:t xml:space="preserve"> </w:t>
      </w:r>
      <w:r w:rsidRPr="009705E6">
        <w:rPr>
          <w:sz w:val="8"/>
        </w:rPr>
        <w:t>They break down and produce and travel in unexpected lines of flight—flights that are at once enabled by the university yet irreverent of that mothership of a machine. This same disloyalty applies to the machined people, you. And thus there’s some hope, the hope of the scyborg. Organisms in the machinery are scyborgian: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t>Your witch’s flight pulls bits of the assemblage with you and sprays technology throughout its path. The agency of</w:t>
      </w:r>
      <w:r w:rsidRPr="009705E6">
        <w:rPr>
          <w:rStyle w:val="Emphasis"/>
        </w:rPr>
        <w:t xml:space="preserve"> </w:t>
      </w:r>
      <w:r w:rsidRPr="009705E6">
        <w:rPr>
          <w:rStyle w:val="StyleUnderline"/>
        </w:rPr>
        <w:t>the scyborg</w:t>
      </w:r>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It’s that elliptical gear that makes the machine work (for freedom sometimes) by helping the machine (of unfreedom) break down. The lopsided bot, the scyborg, the queer gear with a g-limp—if there is anything to fear and to hope for in the university, it could be you, and it could be me. Scyborgs have made a third university. The scyborg is essential in producing the third world university. The scyborg is machined person, technologically enhanced by legitimated knowledge and stamped with the university’s brand. S-he is the perfect masculine expression of education: an autonomous individual who will reproduce the logics of the university without being told. The scyborg is the university’s colonial hope. Albert Memmi describes being a Tunisian Jew at the Sorbonne in the 1950s, wondering whether he would be allowed to take his exams. “It is not a right,” said the president of the exams jury. “It is a hope. . . . Let us say that it is a colonial hope.”[2] Scyborgs are creatures of colonial desire: please be successful, be pretty, be human. The scyborg’s privilege is a manifestation of the first world university’s noblesse oblige. Thus a successful scyborg proves that the university is ethical. However, on the flip side, the scyborg is a source of colonial anxiety: please do not fail us, reject us, betray us. The scyborg has hir desires too. Hirs is a decolonial hope. S-he is never a completely loyal colonialist and can often be caught in the basement library, building the third world university. To recognize the scyborg, I return to the three examples of colonial schools in Kenya, North America, and the Philippines. I do so to ask that we recognize the nineteenth- and twentieth-century scyborgs that Christian missions, the U.S. Army, and other colonial machines might have created by accident. I opened this book with Ngũgĩ wa Thiong’o’s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wa Thiong’o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Ngaahika Ndeenda (I will marry when I want), which was shut down by the Kenyatta regime. Wa Thiong’o was imprisoned for a year in the Kamiti Maximum Security Prison. There he wrote the first modern novel in the Gĩkũyũ language, Caitaani mũtharaba-Inĩ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 xml:space="preserve">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Vizenor, writes that Standing Bear’s thoughts and deeds suggest a “shadow curriculum” of a deep sovereignty beyond their immediate referents in the (English) world. “Shadows are possibilities, neither empty nor over-determined by words or referents but instances of possibilities.”[3]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b/>
          <w:bCs/>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Veta Schlimgen explains, the desires and ambitions cultivated in the “culture of education” created a new—and unanticipated—(im)migration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b/>
          <w:bCs/>
          <w:highlight w:val="yellow"/>
        </w:rPr>
        <w:t>brown labor unionists in West Coast farms</w:t>
      </w:r>
      <w:r w:rsidRPr="001C1C65">
        <w:rPr>
          <w:rStyle w:val="StyleUnderline"/>
        </w:rPr>
        <w:t xml:space="preserve"> </w:t>
      </w:r>
      <w:r w:rsidRPr="009705E6">
        <w:rPr>
          <w:sz w:val="8"/>
        </w:rPr>
        <w:t>and canneries. Notable organizers within the Cannery Workers’ and Farm Laborers’ Union were first accomplished students. Victorio Velasco, after earning a degree in journalism, was shunted into cannery work and farm labor in Seattle. He went on to edit Filipino community newspapers that were critical to creating a collective Filipino workers’ political voice. Chris Mensalvas quit law school because, as a U.S. “noncitizen national” from the Philippines, he was prohibited from practicing law. “I spent three years in college and then I went to organize our people on the farms.”[7] Trinidad Rojo,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Rojo, Mensalves, Standing Bear, and wa Thiong’o are scyborg,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Scyborgs are possible “men” fit for assimilation—the colonial hope is that the whiteness of the normative human can be extended to the very people who were premised as non-human, gender-deviant savages. Thus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w:t>
      </w:r>
      <w:r w:rsidRPr="009705E6">
        <w:rPr>
          <w:sz w:val="8"/>
        </w:rPr>
        <w:lastRenderedPageBreak/>
        <w:t xml:space="preserve">provide you with the necessary prosthesis and will cut off your tail. But you, as scyborg,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p>
    <w:p w14:paraId="254CB6FC" w14:textId="77777777" w:rsidR="00D31E39" w:rsidRDefault="00D31E39" w:rsidP="00D31E39">
      <w:pPr>
        <w:pStyle w:val="Heading4"/>
      </w:pPr>
      <w:r>
        <w:t xml:space="preserve">[6] Solidarity: Our advocacy solves battle fatigue </w:t>
      </w:r>
    </w:p>
    <w:p w14:paraId="0B14A74F" w14:textId="77777777" w:rsidR="00D31E39" w:rsidRPr="006778FA" w:rsidRDefault="00D31E39" w:rsidP="00D31E39">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3263394C" w14:textId="77777777" w:rsidR="00D31E39" w:rsidRDefault="00D31E39" w:rsidP="00D31E39">
      <w:pPr>
        <w:rPr>
          <w:sz w:val="12"/>
        </w:rPr>
      </w:pPr>
      <w:r w:rsidRPr="00657E95">
        <w:rPr>
          <w:sz w:val="12"/>
        </w:rPr>
        <w:t xml:space="preserve">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
          <w:bCs/>
          <w:highlight w:val="yellow"/>
        </w:rPr>
        <w:t xml:space="preserve">their knowledge is still Othered </w:t>
      </w:r>
      <w:r w:rsidRPr="006A3226">
        <w:rPr>
          <w:rStyle w:val="StyleUnderline"/>
          <w:b/>
          <w:bCs/>
        </w:rPr>
        <w:t>and compartmentalized</w:t>
      </w:r>
      <w:r w:rsidRPr="006A3226">
        <w:rPr>
          <w:rStyle w:val="StyleUnderline"/>
        </w:rPr>
        <w:t xml:space="preserve"> </w:t>
      </w:r>
      <w:r w:rsidRPr="006A3226">
        <w:rPr>
          <w:sz w:val="12"/>
        </w:rPr>
        <w:t>into particular</w:t>
      </w:r>
      <w:r w:rsidRPr="00657E95">
        <w:rPr>
          <w:sz w:val="12"/>
        </w:rPr>
        <w:t xml:space="preserve"> moments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colour]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
          <w:bCs/>
        </w:rPr>
        <w:t>oppressed become the bearers of the oppressor’s ignorance</w:t>
      </w:r>
      <w:r w:rsidRPr="00645405">
        <w:rPr>
          <w:rStyle w:val="StyleUnderline"/>
        </w:rPr>
        <w:t xml:space="preserve"> while also living through their own oppression. It is important to be critical of such dynamics so that people of colour do not bear all of the responsibility for the privileged to learn and unlearn about their privilege.</w:t>
      </w:r>
      <w:r w:rsidRPr="00657E95">
        <w:rPr>
          <w:sz w:val="12"/>
        </w:rPr>
        <w:t xml:space="preserve"> </w:t>
      </w:r>
    </w:p>
    <w:p w14:paraId="2399E9E9" w14:textId="77777777" w:rsidR="00D31E39" w:rsidRDefault="00D31E39" w:rsidP="00D31E39">
      <w:pPr>
        <w:pStyle w:val="Heading4"/>
      </w:pPr>
      <w:r w:rsidRPr="00B30272">
        <w:t>[</w:t>
      </w:r>
      <w:r>
        <w:t>7</w:t>
      </w:r>
      <w:r w:rsidRPr="00B30272">
        <w:t>] Performativity</w:t>
      </w:r>
      <w:r>
        <w:t>: T</w:t>
      </w:r>
      <w:r w:rsidRPr="00B30272">
        <w:t xml:space="preserve">hey presuppose that their epistemology will be valued which </w:t>
      </w:r>
      <w:r>
        <w:t xml:space="preserve">means contestation proves our role of the ballot is a prerequisite to all evaluation </w:t>
      </w:r>
    </w:p>
    <w:p w14:paraId="62AF4631" w14:textId="77777777" w:rsidR="00D31E39" w:rsidRPr="008E229E" w:rsidRDefault="00D31E39" w:rsidP="00D31E39">
      <w:pPr>
        <w:pStyle w:val="Heading4"/>
        <w:rPr>
          <w:u w:val="single"/>
        </w:rPr>
      </w:pPr>
      <w:r>
        <w:t>-[8] Epistemology: Our role of the ballot answers a metaethical question that precedes normative framing. R</w:t>
      </w:r>
      <w:r w:rsidRPr="00EB4164">
        <w:t>efus</w:t>
      </w:r>
      <w:r>
        <w:t>ing</w:t>
      </w:r>
      <w:r w:rsidRPr="00EB4164">
        <w:t xml:space="preserve"> all epistemic </w:t>
      </w:r>
      <w:r w:rsidRPr="003D3188">
        <w:t>hegemony is a prerequisite to cognitive deliberation and a lack of hierarchies across normative structures means I get permutations.</w:t>
      </w:r>
      <w:r>
        <w:t xml:space="preserve">    </w:t>
      </w:r>
    </w:p>
    <w:p w14:paraId="7924A8A1" w14:textId="77777777" w:rsidR="00D31E39" w:rsidRPr="00F3557B" w:rsidRDefault="00D31E39" w:rsidP="00D31E39">
      <w:r w:rsidRPr="00F3557B">
        <w:rPr>
          <w:rStyle w:val="Style13ptBold"/>
        </w:rPr>
        <w:t xml:space="preserve">Poppe 16 - R.C Poppe, Utrecht University Repository, 2016 </w:t>
      </w:r>
      <w:r w:rsidRPr="00F3557B">
        <w:t>“APPLYING DECOLONIAL PERSPECTIVES TO CLIMATE ETHICS” [https://dspace.library.uu.nl/handle/1874/334548] Accessed 10/9/19 SAO</w:t>
      </w:r>
    </w:p>
    <w:p w14:paraId="0E6618BC" w14:textId="77777777" w:rsidR="00D31E39" w:rsidRDefault="00D31E39" w:rsidP="00D31E39">
      <w:pPr>
        <w:rPr>
          <w:rStyle w:val="StyleUnderline"/>
        </w:rPr>
      </w:pPr>
      <w:r w:rsidRPr="003F1660">
        <w:rPr>
          <w:sz w:val="10"/>
        </w:rPr>
        <w:t>Relation and contribution to climate ethics As stated in the beginning of the previous chapter</w:t>
      </w:r>
      <w:r w:rsidRPr="00F3557B">
        <w:rPr>
          <w:rStyle w:val="StyleUnderline"/>
        </w:rPr>
        <w:t>, moral epistemology is a branch of metaethics that concerns itself with the justification for moral statements. Moral epistemology, however, must also be a branch of epistemology, because if justification</w:t>
      </w:r>
      <w:r w:rsidRPr="00F3557B">
        <w:rPr>
          <w:rStyle w:val="StyleUnderline"/>
          <w:b/>
          <w:bCs/>
        </w:rPr>
        <w:t xml:space="preserve"> </w:t>
      </w:r>
      <w:r w:rsidRPr="00F3557B">
        <w:rPr>
          <w:rStyle w:val="StyleUnderline"/>
          <w:b/>
          <w:bCs/>
          <w:highlight w:val="yellow"/>
        </w:rPr>
        <w:t>for moral statements</w:t>
      </w:r>
      <w:r w:rsidRPr="003F1660">
        <w:rPr>
          <w:sz w:val="10"/>
        </w:rPr>
        <w:t xml:space="preserve"> is</w:t>
      </w:r>
      <w:r w:rsidRPr="00F3557B">
        <w:rPr>
          <w:rStyle w:val="StyleUnderline"/>
          <w:b/>
          <w:bCs/>
          <w:highlight w:val="yellow"/>
        </w:rPr>
        <w:t xml:space="preserve"> to be evaluated, there needs to be a justification for </w:t>
      </w:r>
      <w:r w:rsidRPr="003F1660">
        <w:rPr>
          <w:sz w:val="10"/>
        </w:rPr>
        <w:t>the (type of)</w:t>
      </w:r>
      <w:r w:rsidRPr="00F3557B">
        <w:rPr>
          <w:rStyle w:val="StyleUnderline"/>
          <w:b/>
          <w:bCs/>
        </w:rPr>
        <w:t xml:space="preserve"> </w:t>
      </w:r>
      <w:r w:rsidRPr="00F3557B">
        <w:rPr>
          <w:rStyle w:val="StyleUnderline"/>
          <w:b/>
          <w:bCs/>
          <w:highlight w:val="yellow"/>
        </w:rPr>
        <w:t>knowledge employed to execute such evaluation</w:t>
      </w:r>
      <w:r w:rsidRPr="003F1660">
        <w:rPr>
          <w:b/>
          <w:bCs/>
          <w:sz w:val="10"/>
        </w:rPr>
        <w:t>.</w:t>
      </w:r>
      <w:r w:rsidRPr="003F1660">
        <w:rPr>
          <w:sz w:val="10"/>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3F1660">
        <w:rPr>
          <w:sz w:val="10"/>
        </w:rPr>
        <w:t>they</w:t>
      </w:r>
      <w:r w:rsidRPr="00F3557B">
        <w:rPr>
          <w:rStyle w:val="StyleUnderline"/>
          <w:highlight w:val="yellow"/>
        </w:rPr>
        <w:t xml:space="preserve"> are intertwined. </w:t>
      </w:r>
      <w:r w:rsidRPr="003F1660">
        <w:rPr>
          <w:sz w:val="10"/>
        </w:rPr>
        <w:t>So</w:t>
      </w:r>
      <w:r w:rsidRPr="00F3557B">
        <w:rPr>
          <w:rStyle w:val="StyleUnderline"/>
        </w:rPr>
        <w:t xml:space="preserve">, if one </w:t>
      </w:r>
      <w:r w:rsidRPr="00F3557B">
        <w:rPr>
          <w:rStyle w:val="StyleUnderline"/>
        </w:rPr>
        <w:lastRenderedPageBreak/>
        <w:t>were to engage in an inquiry to normative (applied) ethics, at least some attention has be given to moral epistemology</w:t>
      </w:r>
      <w:r w:rsidRPr="003F1660">
        <w:rPr>
          <w:sz w:val="10"/>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3F1660">
        <w:rPr>
          <w:sz w:val="10"/>
        </w:rPr>
        <w:t>thus relates to climate ethics is that it</w:t>
      </w:r>
      <w:r w:rsidRPr="00F3557B">
        <w:rPr>
          <w:rStyle w:val="StyleUnderline"/>
          <w:highlight w:val="yellow"/>
        </w:rPr>
        <w:t xml:space="preserve"> can </w:t>
      </w:r>
      <w:r w:rsidRPr="003F1660">
        <w:rPr>
          <w:sz w:val="10"/>
        </w:rPr>
        <w:t>be used to</w:t>
      </w:r>
      <w:r w:rsidRPr="00F3557B">
        <w:rPr>
          <w:rStyle w:val="StyleUnderline"/>
        </w:rPr>
        <w:t xml:space="preserve"> </w:t>
      </w:r>
      <w:r w:rsidRPr="00F3557B">
        <w:rPr>
          <w:rStyle w:val="StyleUnderline"/>
          <w:highlight w:val="yellow"/>
        </w:rPr>
        <w:t xml:space="preserve">address epistemological issues </w:t>
      </w:r>
      <w:r w:rsidRPr="003F1660">
        <w:rPr>
          <w:sz w:val="10"/>
        </w:rPr>
        <w:t xml:space="preserve">in the current climate ethical debate. The argument that will be explained below is going to say that there can be no global social justice without global cognitive justice (Santos 2008, p. 258). In a nutshell, this </w:t>
      </w:r>
      <w:r w:rsidRPr="00F92AE2">
        <w:rPr>
          <w:sz w:val="10"/>
        </w:rPr>
        <w:t>means that an</w:t>
      </w:r>
      <w:r w:rsidRPr="00F92AE2">
        <w:rPr>
          <w:rStyle w:val="StyleUnderline"/>
          <w:b/>
          <w:bCs/>
        </w:rPr>
        <w:t xml:space="preserve"> ethical</w:t>
      </w:r>
      <w:r w:rsidRPr="003F1660">
        <w:rPr>
          <w:rStyle w:val="StyleUnderline"/>
          <w:b/>
          <w:bCs/>
        </w:rPr>
        <w:t xml:space="preserve"> </w:t>
      </w:r>
      <w:r w:rsidRPr="003F1660">
        <w:rPr>
          <w:sz w:val="10"/>
        </w:rPr>
        <w:t xml:space="preserve">form of mitigation </w:t>
      </w:r>
      <w:r w:rsidRPr="003F1660">
        <w:rPr>
          <w:rStyle w:val="StyleUnderline"/>
          <w:b/>
          <w:bCs/>
        </w:rPr>
        <w:t>policy cannot be achieved if the epistemology</w:t>
      </w:r>
      <w:r w:rsidRPr="003F1660">
        <w:rPr>
          <w:sz w:val="10"/>
        </w:rPr>
        <w:t>(-ies)</w:t>
      </w:r>
      <w:r w:rsidRPr="003F1660">
        <w:rPr>
          <w:b/>
          <w:bCs/>
          <w:sz w:val="10"/>
        </w:rPr>
        <w:t xml:space="preserve"> </w:t>
      </w:r>
      <w:r w:rsidRPr="003F1660">
        <w:rPr>
          <w:rStyle w:val="StyleUnderline"/>
          <w:b/>
          <w:bCs/>
        </w:rPr>
        <w:t xml:space="preserve">employed to justify the evaluation of justification of moral statements </w:t>
      </w:r>
      <w:r w:rsidRPr="003F1660">
        <w:rPr>
          <w:sz w:val="10"/>
        </w:rPr>
        <w:t>(moral epistemology</w:t>
      </w:r>
      <w:r w:rsidRPr="003F1660">
        <w:rPr>
          <w:rStyle w:val="StyleUnderline"/>
        </w:rPr>
        <w:t>)</w:t>
      </w:r>
      <w:r w:rsidRPr="003F1660">
        <w:rPr>
          <w:rStyle w:val="StyleUnderline"/>
          <w:b/>
          <w:bCs/>
        </w:rPr>
        <w:t xml:space="preserve"> is in conflict with epistemologies </w:t>
      </w:r>
      <w:r w:rsidRPr="003F1660">
        <w:rPr>
          <w:sz w:val="10"/>
        </w:rPr>
        <w:t>and relations to nature</w:t>
      </w:r>
      <w:r w:rsidRPr="003F1660">
        <w:rPr>
          <w:rStyle w:val="StyleUnderline"/>
          <w:b/>
          <w:bCs/>
        </w:rPr>
        <w:t xml:space="preserve"> of the people affected </w:t>
      </w:r>
      <w:r w:rsidRPr="003F1660">
        <w:rPr>
          <w:sz w:val="10"/>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kincentric ecology (Salmon, p. 1328). This means that indigenous people regard themselves and nature as part of the same family. Salmon argues that the best way to understand such a relation to nature is through the Rarámuri (an indigenous community in eastern Mexico; the Sieraa Madres) concept of iwígara, which he explains as the following: Poppe 35 “Iwígara is the total interconnectedness and integration of all life in the Sierra Madres, physical and spiritual”…”Iwí also makes reference to the Rarámuri concept of soul. It is understood that the soul, or iwí, sustains the body with the breath of life. Everything that breaths has a soul. Plants, animals, humans, stones, the land, all share the same breath. When humans and animals die, their souls become butterflies that visit the living. The butterflies also travel to the Milky Way, where past souls of the ancestors reside. Iwí is also the word used to identify a caterpillar that weaves its cocoons on the madrone tree (Arbutus sp.). The implication is that there is a whole morphophysiological process of change, death, birth, and rebirth associated with the concept of iwí. Iwí is the soul or essence of life everywhere. Iwígara then channels the idea that all life, spiritual and physical, is interconnected in a continual cycle. Iwí is the prefix to iwígara. Iwígara expresses the belief that all life shares the same breath. We are all related to, and play a role in, the complexity of life. Iwígara most closely resembles the concept of kincentric ecology.” (Salmon, p. 1328) The concept of kincentric ecology, iwígara, is at the heart of the Rarámuri land management philosophy (Salmon, p. 1329). It is a reciprocal relationship in which the Rarámuri are one of the relatives of the family of the land, of which they regard themselves as guardians (Salmon, p. 1329). The Rarámuri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Poppe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Referring back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(ie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labour or raw material. The discourse of biodiversity in particular achieves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Poppe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else”…”a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have to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have to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3F1660">
        <w:rPr>
          <w:sz w:val="10"/>
        </w:rPr>
        <w:t xml:space="preserve">, as Santos argues, </w:t>
      </w:r>
      <w:r w:rsidRPr="003F1660">
        <w:rPr>
          <w:rStyle w:val="StyleUnderline"/>
        </w:rPr>
        <w:t>should be understood as a “just relationship among different kinds of knowledge</w:t>
      </w:r>
      <w:r w:rsidRPr="003F1660">
        <w:rPr>
          <w:sz w:val="10"/>
        </w:rPr>
        <w:t xml:space="preserve">” (Santos 2008, p. 258). </w:t>
      </w:r>
      <w:r w:rsidRPr="003F1660">
        <w:rPr>
          <w:rStyle w:val="StyleUnderline"/>
        </w:rPr>
        <w:t>This means that</w:t>
      </w:r>
      <w:r w:rsidRPr="00A97689">
        <w:rPr>
          <w:rStyle w:val="StyleUnderline"/>
        </w:rPr>
        <w:t xml:space="preserve"> </w:t>
      </w:r>
      <w:r w:rsidRPr="00F3557B">
        <w:rPr>
          <w:rStyle w:val="StyleUnderline"/>
          <w:b/>
          <w:bCs/>
          <w:highlight w:val="yellow"/>
        </w:rPr>
        <w:t xml:space="preserve">no a priori supremacy should be granted to any </w:t>
      </w:r>
      <w:r w:rsidRPr="003F1660">
        <w:rPr>
          <w:sz w:val="10"/>
        </w:rPr>
        <w:t xml:space="preserve">kind of </w:t>
      </w:r>
      <w:r w:rsidRPr="00F3557B">
        <w:rPr>
          <w:rStyle w:val="StyleUnderline"/>
          <w:b/>
          <w:bCs/>
          <w:highlight w:val="yellow"/>
        </w:rPr>
        <w:t>knowledge</w:t>
      </w:r>
      <w:r w:rsidRPr="003F1660">
        <w:rPr>
          <w:sz w:val="10"/>
        </w:rPr>
        <w:t xml:space="preserve"> (Santos 2008, p. 258). Poppe 38 Justice is in itself a challenging philosophical concept. Referring back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in order to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justice and peace in the world” (UDHR, preamble). In the making of the social and cognitive justice argument, I will draw upon Article 18 of the Declaration: Article 18: “</w:t>
      </w:r>
      <w:r w:rsidRPr="00F3557B">
        <w:rPr>
          <w:rStyle w:val="StyleUnderline"/>
          <w:b/>
          <w:bCs/>
          <w:highlight w:val="yellow"/>
        </w:rPr>
        <w:t xml:space="preserve">Everyone has the right to freedom of thought, </w:t>
      </w:r>
      <w:r w:rsidRPr="003F1660">
        <w:rPr>
          <w:sz w:val="10"/>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So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3F1660">
        <w:rPr>
          <w:sz w:val="10"/>
        </w:rPr>
        <w:t xml:space="preserve"> such as the Rarámuri, however, it is not so much a material problem as it is an epistemic one. As illustrated above, their </w:t>
      </w:r>
      <w:r w:rsidRPr="00A97689">
        <w:rPr>
          <w:rStyle w:val="StyleUnderline"/>
        </w:rPr>
        <w:t xml:space="preserve">knowledge and beliefs do not fit in the epistemic framework of rationality </w:t>
      </w:r>
      <w:r w:rsidRPr="003F1660">
        <w:rPr>
          <w:sz w:val="10"/>
        </w:rPr>
        <w:t xml:space="preserve">and scientific thought; </w:t>
      </w:r>
      <w:r w:rsidRPr="00A97689">
        <w:rPr>
          <w:rStyle w:val="StyleUnderline"/>
        </w:rPr>
        <w:t>they employ a spiritual epistemology</w:t>
      </w:r>
      <w:r w:rsidRPr="003F1660">
        <w:rPr>
          <w:sz w:val="10"/>
        </w:rPr>
        <w:t>. Their philosophy of land management is directly related to their spirituality. Their use of land, such as a periodical use, is not arbitrary or random, but it is a manifestation of their spiritual beliefs. The Rarámuri, for example, only harvest plans in areas where their Iwígara (their life breath) is strong, so that the plants with a weak Iwígara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Poppe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need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peoples way of living. It seems, then, that the construction of policy is paternalist in nature; indigenous peoples have no say in the construction of policy, even though they are affected by it. This implies that the policy-makers know better what is best for indigenous peoples than themselves. Consequently, this can be interpreted as a rearticulation of coloniality through the rhetoric of development: the Western policy-makers being the developed and the indigenous peoples the undeveloped. According to Giovanna Di Chiro, this is exactly the claim of the People of Color Environmental Leadership Summit. They claim that conventional environmental organizations and policy-makers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reason why</w:t>
      </w:r>
      <w:r w:rsidRPr="003F1660">
        <w:rPr>
          <w:rStyle w:val="StyleUnderline"/>
        </w:rPr>
        <w:t xml:space="preserve"> indigenous peoples often live isolated </w:t>
      </w:r>
      <w:r w:rsidRPr="003F1660">
        <w:rPr>
          <w:sz w:val="10"/>
        </w:rPr>
        <w:t>should be regarded as a form of resistance, precisely because they do not want</w:t>
      </w:r>
      <w:r w:rsidRPr="003F1660">
        <w:rPr>
          <w:rStyle w:val="StyleUnderline"/>
        </w:rPr>
        <w:t xml:space="preserve"> to </w:t>
      </w:r>
      <w:r w:rsidRPr="003F1660">
        <w:rPr>
          <w:sz w:val="10"/>
        </w:rPr>
        <w:t>comply with Western thinking and way of life (Plotkin, 2014). This resistance can thus be understood as the previously mentioned epistemic disobedience; indigenous peoples</w:t>
      </w:r>
      <w:r w:rsidRPr="003F1660">
        <w:rPr>
          <w:rStyle w:val="StyleUnderline"/>
          <w:b/>
          <w:bCs/>
        </w:rPr>
        <w:t xml:space="preserve"> reject the epistemic hegemony</w:t>
      </w:r>
      <w:r w:rsidRPr="003F1660">
        <w:rPr>
          <w:rStyle w:val="StyleUnderline"/>
        </w:rPr>
        <w:t xml:space="preserve"> </w:t>
      </w:r>
      <w:r w:rsidRPr="003F1660">
        <w:rPr>
          <w:sz w:val="10"/>
        </w:rPr>
        <w:t>of rational and scientific thought. Consequently, following decolonial Poppe 40 reasoning, qualitative statements regarding indigenous ways of life in terms of development or rationalism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countries, because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policy-makers would consider Western knowledge to be more sophisticated and thus believe the employment of such knowledge to be capable of benefitting everyone, including indigenous peoples, more than other knowledges. Management approaches in policy show the same paternalistic tendency, because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a management framework in international policy-making implies the epistemic hegemony of one knowledge over others (a lack of cognitive justice). Therefore</w:t>
      </w:r>
      <w:r w:rsidRPr="00D403E0">
        <w:rPr>
          <w:rStyle w:val="StyleUnderline"/>
        </w:rPr>
        <w:t>, cognitive justice is a prerequisite of social justice.</w:t>
      </w:r>
    </w:p>
    <w:p w14:paraId="7DCF9BAA" w14:textId="77777777" w:rsidR="00D31E39" w:rsidRPr="00471684" w:rsidRDefault="00D31E39" w:rsidP="00D31E39">
      <w:pPr>
        <w:pStyle w:val="Heading4"/>
        <w:rPr>
          <w:sz w:val="8"/>
        </w:rPr>
      </w:pPr>
      <w:r>
        <w:lastRenderedPageBreak/>
        <w:t xml:space="preserve">[9] Magnitude: Extractive colonial relations cause extinction  </w:t>
      </w:r>
    </w:p>
    <w:p w14:paraId="2093D1E1" w14:textId="77777777" w:rsidR="00D31E39" w:rsidRPr="006778FA" w:rsidRDefault="00D31E39" w:rsidP="00D31E39">
      <w:r w:rsidRPr="0003110B">
        <w:rPr>
          <w:rStyle w:val="Style13ptBold"/>
        </w:rPr>
        <w:t>Helland and Lindgren 16</w:t>
      </w:r>
      <w:r>
        <w:rPr>
          <w:rStyle w:val="Style13ptBold"/>
        </w:rPr>
        <w:t xml:space="preserve"> - </w:t>
      </w:r>
      <w:r w:rsidRPr="006778FA">
        <w:rPr>
          <w:rStyle w:val="Style13ptBold"/>
        </w:rPr>
        <w:t>Leonardo E. Figueroa Helland and Tim Lindgren Westminster College in the JOURNAL OF WORLD-SYSTEMS RESEARCH, 2016</w:t>
      </w:r>
      <w:r>
        <w:t xml:space="preserve"> “What Goes Around Comes Around: From The Coloniality of Power to the Crisis of Civilization” </w:t>
      </w:r>
      <w:r w:rsidRPr="006778FA">
        <w:t>[http://jwsr.pitt.edu/ojs/index.php/jwsr/article/view/631/831] Accessed 8/28/19 SAO</w:t>
      </w:r>
    </w:p>
    <w:p w14:paraId="61E767CC" w14:textId="77777777" w:rsidR="00D31E39" w:rsidRDefault="00D31E39" w:rsidP="00D31E39">
      <w:pPr>
        <w:rPr>
          <w:sz w:val="8"/>
        </w:rPr>
      </w:pPr>
      <w:r w:rsidRPr="00380F21">
        <w:rPr>
          <w:rStyle w:val="StyleUnderline"/>
          <w:highlight w:val="yellow"/>
        </w:rPr>
        <w:t xml:space="preserve">Today we face a </w:t>
      </w:r>
      <w:r w:rsidRPr="00A6374E">
        <w:rPr>
          <w:rStyle w:val="StyleUnderline"/>
          <w:b/>
          <w:bCs/>
          <w:highlight w:val="yellow"/>
        </w:rPr>
        <w:t>planetary crisis</w:t>
      </w:r>
      <w:r w:rsidRPr="00380F21">
        <w:rPr>
          <w:rStyle w:val="StyleUnderline"/>
          <w:highlight w:val="yellow"/>
        </w:rPr>
        <w:t xml:space="preserve">. </w:t>
      </w:r>
      <w:r w:rsidRPr="002C6EE9">
        <w:rPr>
          <w:rStyle w:val="StyleUnderline"/>
        </w:rPr>
        <w:t>Environmental, energy, food, financial, and social reproduction crises are disrupting the world-</w:t>
      </w:r>
      <w:r w:rsidRPr="002C6EE9">
        <w:rPr>
          <w:sz w:val="8"/>
        </w:rPr>
        <w:t>system (Ahmed 2010; McMichael 2011; Chase-Dunn 2013; Houtart 2010; Kallis, Martinez</w:t>
      </w:r>
      <w:r w:rsidRPr="00C55D0E">
        <w:rPr>
          <w:sz w:val="8"/>
        </w:rPr>
        <w:t xml:space="preserve">-Alier and Norgaard 2009; Foster, Clark, York 2010; Goodman and Salleh 2015; Peterson 2010; Rockstrom et.al. 2009, 2009b; Salleh 2012; Smith 2014; Steffen et.al. 2007). This planetary crisis, we argue, has been triggered by a globalizing mode of civilization that has become hegemonic.2 This mode of civilization is constituted and underpinned by anthropocentric, androcentric, hetero-patriarchal, Euro/Western-centric, modern/colonial and capitalist systems of power. Building on world-systems, decolonial, eco-feminist and posthuman theories, we contend that </w:t>
      </w:r>
      <w:r w:rsidRPr="00380F21">
        <w:rPr>
          <w:rStyle w:val="StyleUnderline"/>
          <w:highlight w:val="yellow"/>
        </w:rPr>
        <w:t>the “coloniality of power</w:t>
      </w:r>
      <w:r w:rsidRPr="00C55D0E">
        <w:rPr>
          <w:sz w:val="8"/>
        </w:rPr>
        <w:t xml:space="preserve">” (Quijano 1991; Grosfoguel 2009; Mignolo 2008; Lugones 2007; Maese-Cohen 2010; Dastile and Ndlovu-Gastheni 2013) </w:t>
      </w:r>
      <w:r w:rsidRPr="00380F21">
        <w:rPr>
          <w:rStyle w:val="StyleUnderline"/>
          <w:highlight w:val="yellow"/>
        </w:rPr>
        <w:t xml:space="preserve">has worked to globalize a civilization that </w:t>
      </w:r>
      <w:r w:rsidRPr="00A6374E">
        <w:rPr>
          <w:rStyle w:val="StyleUnderline"/>
          <w:b/>
          <w:bCs/>
          <w:highlight w:val="yellow"/>
        </w:rPr>
        <w:t>exhausts the planet</w:t>
      </w:r>
      <w:r w:rsidRPr="00380F21">
        <w:rPr>
          <w:rStyle w:val="StyleUnderline"/>
          <w:highlight w:val="yellow"/>
        </w:rPr>
        <w:t xml:space="preserve"> and exploits most of its people</w:t>
      </w:r>
      <w:r w:rsidRPr="00C55D0E">
        <w:rPr>
          <w:sz w:val="8"/>
        </w:rPr>
        <w:t>, thus unleashing a socioecological blowback that is turning this civilization into its own worst enemy. By “coloniality” we refer to the complex and multidimensional legacy of divisive, exploitative, stratifying and hierarchical forms of power (e.g., Eurocentric/Western-centric hegemony), forms of knowledge (e.g., technoscientific instrumental rationality), forms of (inter)subjectivity (e.g., possessive individualism), forms of human interrelations (e.g., racism, classism, heteropatriarchalism, etc.), and forms of human dominion over land and mastery of “nature” (e.g., anthropocentric property/dominion/sovereignty) that have become entrenched and continue to be reproduced throughout the world as an ongoing consequence of colonization. Coloniality thus entails that the hegemony of colonial forms persists to this day as a legacy that structurally constitutes modernity, even into supposedly “postcolonial” times</w:t>
      </w:r>
      <w:r w:rsidRPr="00380F21">
        <w:rPr>
          <w:rStyle w:val="StyleUnderline"/>
          <w:highlight w:val="yellow"/>
        </w:rPr>
        <w:t xml:space="preserve">. Coloniality is the underside of modernity: the </w:t>
      </w:r>
      <w:r w:rsidRPr="00C55D0E">
        <w:rPr>
          <w:rStyle w:val="StyleUnderline"/>
        </w:rPr>
        <w:t xml:space="preserve">historical and </w:t>
      </w:r>
      <w:r w:rsidRPr="00380F21">
        <w:rPr>
          <w:rStyle w:val="StyleUnderline"/>
          <w:highlight w:val="yellow"/>
        </w:rPr>
        <w:t>structural foundation that has enabled</w:t>
      </w:r>
      <w:r w:rsidRPr="00C55D0E">
        <w:rPr>
          <w:sz w:val="8"/>
        </w:rPr>
        <w:t xml:space="preserve">—e.g., through conquest, imperialism, </w:t>
      </w:r>
      <w:r w:rsidRPr="00A6374E">
        <w:rPr>
          <w:rStyle w:val="StyleUnderline"/>
          <w:b/>
          <w:bCs/>
          <w:highlight w:val="yellow"/>
        </w:rPr>
        <w:t>slavery, resource extraction and Western dominance</w:t>
      </w:r>
      <w:r w:rsidRPr="00C55D0E">
        <w:rPr>
          <w:sz w:val="8"/>
        </w:rPr>
        <w:t>—the rise, hegemony, and globalization of a world-system dominated by modern civilization. This civilization has sought to globalize a political-economic model bent on endless accumulation, consumption and growth on a finite planet (Ahmed 2010; Foster, Clark, York 2010; Goodman and Salleh 2013; McMichael 2011; Steffen et.al. 2007; WPCCC 2010). Now in its “neoliberal” stage, this model reinforces a historically-ongoing coloniality of power premised on linear discourses of “progress,” “modernization,” “development,” and “evolution,” altogether constituting a hegemonic “standard of civilization.” Globalized through (neo)colonialism and (neo)imperialism, this “standard of civilization” has subjugated the global South under the North, and the rural under the urban, thereby stratifying the world into multiple overlapping hierarchies structured along core-periphery asymmetries. The globalization of this mode of civilization wouldn’t be possible without the coloniality of power which has assimilated semi-peripheral and peripheral elites into a Western-centric civilizational obsession with endless accumulation based on the “mastery of nature” (Plumwood 2002; Adelman 2015) and geared towards the aggressive pursuit of “high modernism” 3 (Scott 1998)—and its “late modern(ist)” continuation. While settler-colonial elites have been instrumental to the expansion of hegemonic civilization, the colonial deindigenization and cultural assimilation of Southern elites through centuries of Western domination has increasingly entrenched dominant worldviews and practices throughout the globe. Gonzalez notes; “[i]n the post-colonial period, Southern elites, deeply influenced by Eurocentric ideologies, subjugated their own indigenous and minority populations in order to “modernize” and “develop” them” (2015: 13). Most “postcolonial” elites haven’t broken with this coloniality of power (Dastile and Ndlovu-Gastheni 2013); instead, they often reproduce governmentalities aimed at “catching-up” with, emulating, imitating, “cloning” or conforming to hegemonic models enacted in the North’s metropolitan cores (Sheppard et.al. 2009; McMichael 2011; Grosfoguel 2009; Mignolo 2008</w:t>
      </w:r>
      <w:r w:rsidRPr="00A6374E">
        <w:rPr>
          <w:rStyle w:val="StyleUnderline"/>
        </w:rPr>
        <w:t>). In seeking to emulate the North’s unsustainable “imperial mode of living”</w:t>
      </w:r>
      <w:r w:rsidRPr="00C55D0E">
        <w:rPr>
          <w:sz w:val="8"/>
        </w:rPr>
        <w:t xml:space="preserve"> (Brand and Wissen 2012), many</w:t>
      </w:r>
      <w:r w:rsidRPr="00C55D0E">
        <w:rPr>
          <w:rStyle w:val="StyleUnderline"/>
        </w:rPr>
        <w:t xml:space="preserve"> </w:t>
      </w:r>
      <w:r w:rsidRPr="00380F21">
        <w:rPr>
          <w:rStyle w:val="StyleUnderline"/>
          <w:highlight w:val="yellow"/>
        </w:rPr>
        <w:t>Southern elites have replicated the North’s “ecodestructive</w:t>
      </w:r>
      <w:r w:rsidRPr="00C55D0E">
        <w:rPr>
          <w:sz w:val="8"/>
        </w:rPr>
        <w:t xml:space="preserve">, consumerist-centric, over-financialized, [and] climate-frying maldevelopment </w:t>
      </w:r>
      <w:r w:rsidRPr="00380F21">
        <w:rPr>
          <w:rStyle w:val="StyleUnderline"/>
          <w:highlight w:val="yellow"/>
        </w:rPr>
        <w:t>model</w:t>
      </w:r>
      <w:r w:rsidRPr="00C55D0E">
        <w:rPr>
          <w:sz w:val="8"/>
        </w:rPr>
        <w:t xml:space="preserve">” (Bond 2012). This coloniality of power has often consumed the creativity, energy, and “resources” of (semi)peripheries in aspirational attempts to emulate and/or conform to hegemonic models by, for example, aggressively pursuing accelerated modernization, developmentalism, urbanization, industrialization, and massified commodity/consumerist cultures at almost any cost, human or ecological. </w:t>
      </w:r>
      <w:r w:rsidRPr="00380F21">
        <w:rPr>
          <w:rStyle w:val="StyleUnderline"/>
          <w:highlight w:val="yellow"/>
        </w:rPr>
        <w:t xml:space="preserve">Playing catch-up </w:t>
      </w:r>
      <w:r w:rsidRPr="00C55D0E">
        <w:rPr>
          <w:sz w:val="8"/>
        </w:rPr>
        <w:t>with the North inevitably</w:t>
      </w:r>
      <w:r w:rsidRPr="00A6374E">
        <w:rPr>
          <w:rStyle w:val="StyleUnderline"/>
        </w:rPr>
        <w:t xml:space="preserve"> </w:t>
      </w:r>
      <w:r w:rsidRPr="00380F21">
        <w:rPr>
          <w:rStyle w:val="StyleUnderline"/>
          <w:highlight w:val="yellow"/>
        </w:rPr>
        <w:t xml:space="preserve">requires the present-day rehearsal, </w:t>
      </w:r>
      <w:r w:rsidRPr="00C55D0E">
        <w:rPr>
          <w:rStyle w:val="StyleUnderline"/>
        </w:rPr>
        <w:t xml:space="preserve">in accelerated, compressed manner, </w:t>
      </w:r>
      <w:r w:rsidRPr="00380F21">
        <w:rPr>
          <w:rStyle w:val="StyleUnderline"/>
          <w:highlight w:val="yellow"/>
        </w:rPr>
        <w:t xml:space="preserve">of structurally violent practices that </w:t>
      </w:r>
      <w:r w:rsidRPr="00C55D0E">
        <w:rPr>
          <w:sz w:val="8"/>
        </w:rPr>
        <w:t>have</w:t>
      </w:r>
      <w:r w:rsidRPr="00380F21">
        <w:rPr>
          <w:rStyle w:val="StyleUnderline"/>
          <w:highlight w:val="yellow"/>
        </w:rPr>
        <w:t xml:space="preserve"> underpinned the North’s “rise” to </w:t>
      </w:r>
      <w:r w:rsidRPr="00C55D0E">
        <w:rPr>
          <w:sz w:val="8"/>
        </w:rPr>
        <w:t>planetary</w:t>
      </w:r>
      <w:r w:rsidRPr="00380F21">
        <w:rPr>
          <w:rStyle w:val="StyleUnderline"/>
          <w:highlight w:val="yellow"/>
        </w:rPr>
        <w:t xml:space="preserve"> dominance</w:t>
      </w:r>
      <w:r w:rsidRPr="00C55D0E">
        <w:rPr>
          <w:sz w:val="8"/>
        </w:rPr>
        <w:t xml:space="preserve">—like the transformation of nature (including humans) into exploitable “resources” (Apffel-Marglin 2011) and the systematic reliance on coercive statecraft, ecological imperialism, and (neo)colonialism. Comparable practices, now rehearsed in “updated” forms by elites/regimes of semi-peripheral “emerging economies,” seek to replicate expansive core-like metropolitan centers of accumulation, consumption, and growth, like the grossly unequal BRICS (Brazil, Russia, India, China, and South Africa) megalopolises. To achieve </w:t>
      </w:r>
      <w:r w:rsidRPr="002C6EE9">
        <w:rPr>
          <w:sz w:val="8"/>
        </w:rPr>
        <w:t xml:space="preserve">this, </w:t>
      </w:r>
      <w:r w:rsidRPr="002C6EE9">
        <w:rPr>
          <w:rStyle w:val="StyleUnderline"/>
        </w:rPr>
        <w:t>emerging economies</w:t>
      </w:r>
      <w:r w:rsidRPr="002C6EE9">
        <w:rPr>
          <w:sz w:val="8"/>
        </w:rPr>
        <w:t xml:space="preserve"> must </w:t>
      </w:r>
      <w:r w:rsidRPr="002C6EE9">
        <w:rPr>
          <w:rStyle w:val="StyleUnderline"/>
        </w:rPr>
        <w:t>resort to internal colonialism</w:t>
      </w:r>
      <w:r w:rsidRPr="002C6EE9">
        <w:rPr>
          <w:sz w:val="8"/>
        </w:rPr>
        <w:t xml:space="preserve"> and “subimperialism” or “second degree imperialism” (Bond 2014) so as to compel into subservience their “own” peripheries as sources of exploitable natural and human “resources.” Yet in striving to emulate a patently unsustainable Northern “way of life” built on centuries of dispossession, emerging economies face two obstacles: First, the hegemonic barriers imposed by the dominant regime of accumulation controlled by the North which resists any challenges to its hegemony. Second, the planetary boundaries (Rockström et.al. 2009) imposed by the Earth’s finite carrying capacity which is already responding to breaches with destabilizing consequences (Foster, Clark, York 2010). Seduced by the coloniality of power, large “emerging economies”—like BRICS—are on a crash course against entrenched “old” Northern cores—as the latter try to preserve their unsustainable privileges at any cost. Brand and Wissen (2012) note: [G]eopolitical and geo-economic shifts will…increasingly be…ecological conflicts…[Facing] increasing competition for the earth’s resources and sinks, national and supranational state apparatuses seem…willing to support ‘their’ respective capitals…to strengthen their competitive position and…secure the resource base of their…economies…Thus, the hegemony of the</w:t>
      </w:r>
      <w:r w:rsidRPr="00C55D0E">
        <w:rPr>
          <w:sz w:val="8"/>
        </w:rPr>
        <w:t xml:space="preserve"> imperial mode of living…, [spreading from]…the global North…to the South…explains…an imperialist rearticulation…in the context of multiple crises (555). </w:t>
      </w:r>
      <w:r w:rsidRPr="00380F21">
        <w:rPr>
          <w:rStyle w:val="StyleUnderline"/>
          <w:highlight w:val="yellow"/>
        </w:rPr>
        <w:t xml:space="preserve">Increasingly volatile tensions </w:t>
      </w:r>
      <w:r w:rsidRPr="00C55D0E">
        <w:rPr>
          <w:sz w:val="8"/>
        </w:rPr>
        <w:t xml:space="preserve">are resulting from the clash between the hegemonic system of </w:t>
      </w:r>
      <w:r w:rsidRPr="002C6EE9">
        <w:rPr>
          <w:sz w:val="8"/>
        </w:rPr>
        <w:t xml:space="preserve">accumulation and the planetary boundaries. Geopolitical/geoeconomic conflicts, and grabs and scrambles over “resources” strategic for “development(alism),” </w:t>
      </w:r>
      <w:r w:rsidRPr="002C6EE9">
        <w:rPr>
          <w:rStyle w:val="StyleUnderline"/>
        </w:rPr>
        <w:t>are proliferating globally</w:t>
      </w:r>
      <w:r w:rsidRPr="002C6EE9">
        <w:rPr>
          <w:sz w:val="8"/>
        </w:rPr>
        <w:t>. Such complications can often be traced to the hegemonization of an ecologically unsustainable</w:t>
      </w:r>
      <w:r w:rsidRPr="00C55D0E">
        <w:rPr>
          <w:sz w:val="8"/>
        </w:rPr>
        <w:t xml:space="preserve">, socially stratifying and politically volatile model of civilization bent on endless accumulation, consumption and growth on a finite planet. Ironically, the very success in globalizing this civilizational model through the coloniality of power may lead to its autophagous self-destruction through a planetary crisis. </w:t>
      </w:r>
      <w:r w:rsidRPr="000809EF">
        <w:rPr>
          <w:rStyle w:val="StyleUnderline"/>
          <w:highlight w:val="yellow"/>
        </w:rPr>
        <w:t xml:space="preserve">Overcoming this crisis requires </w:t>
      </w:r>
      <w:r w:rsidRPr="00C55D0E">
        <w:rPr>
          <w:sz w:val="8"/>
        </w:rPr>
        <w:t xml:space="preserve">not only a critique of modernity in its neoliberal capitalist guise, but </w:t>
      </w:r>
      <w:r w:rsidRPr="000809EF">
        <w:rPr>
          <w:rStyle w:val="StyleUnderline"/>
          <w:highlight w:val="yellow"/>
        </w:rPr>
        <w:t xml:space="preserve">a </w:t>
      </w:r>
      <w:r w:rsidRPr="00A6374E">
        <w:rPr>
          <w:rStyle w:val="StyleUnderline"/>
          <w:highlight w:val="yellow"/>
        </w:rPr>
        <w:t xml:space="preserve">transformation beyond the systems of power </w:t>
      </w:r>
      <w:r w:rsidRPr="002C6EE9">
        <w:rPr>
          <w:rStyle w:val="StyleUnderline"/>
        </w:rPr>
        <w:t>underpinning the hegemonic civilization</w:t>
      </w:r>
      <w:r w:rsidRPr="002C6EE9">
        <w:rPr>
          <w:sz w:val="8"/>
        </w:rPr>
        <w:t xml:space="preserve">. </w:t>
      </w:r>
      <w:r w:rsidRPr="002C6EE9">
        <w:rPr>
          <w:rStyle w:val="StyleUnderline"/>
        </w:rPr>
        <w:t>In</w:t>
      </w:r>
      <w:r w:rsidRPr="00A6374E">
        <w:rPr>
          <w:rStyle w:val="StyleUnderline"/>
        </w:rPr>
        <w:t xml:space="preserve"> solidarity with movements for systemic change</w:t>
      </w:r>
      <w:r w:rsidRPr="00C55D0E">
        <w:rPr>
          <w:sz w:val="8"/>
        </w:rPr>
        <w:t xml:space="preserve"> and drawing on decolonial dialogues we conclude with a blueprint for a just and sustainable transition inspired on indigenous, eco-feminist, and posthuman alternatives. </w:t>
      </w:r>
    </w:p>
    <w:p w14:paraId="0585ECC2" w14:textId="77777777" w:rsidR="00D31E39" w:rsidRPr="00C55D0E" w:rsidRDefault="00D31E39" w:rsidP="00D31E39">
      <w:pPr>
        <w:rPr>
          <w:sz w:val="8"/>
        </w:rPr>
      </w:pPr>
    </w:p>
    <w:p w14:paraId="7DD87450" w14:textId="77777777" w:rsidR="00D31E39" w:rsidRPr="00813F65" w:rsidRDefault="00D31E39" w:rsidP="00D31E39">
      <w:pPr>
        <w:pStyle w:val="Heading4"/>
      </w:pPr>
      <w:r w:rsidRPr="00813F65">
        <w:t>And</w:t>
      </w:r>
      <w:r>
        <w:t xml:space="preserve">: </w:t>
      </w:r>
      <w:r w:rsidRPr="00813F65">
        <w:rPr>
          <w:u w:val="single"/>
        </w:rPr>
        <w:t>Theory is violent and should be rejected</w:t>
      </w:r>
      <w:r>
        <w:t>.</w:t>
      </w:r>
    </w:p>
    <w:p w14:paraId="73F316D9" w14:textId="77777777" w:rsidR="00D31E39" w:rsidRPr="006778FA" w:rsidRDefault="00D31E39" w:rsidP="00D31E39">
      <w:pPr>
        <w:pStyle w:val="Heading4"/>
      </w:pPr>
      <w:r>
        <w:t xml:space="preserve">[1] Appeals to a neutral educational meritocracy buy into a universalist fiction that sanctions racialized violence </w:t>
      </w:r>
    </w:p>
    <w:p w14:paraId="4FC0715A" w14:textId="77777777" w:rsidR="00D31E39" w:rsidRDefault="00D31E39" w:rsidP="00D31E39">
      <w:r w:rsidRPr="003E3DD1">
        <w:rPr>
          <w:rStyle w:val="Style13ptBold"/>
        </w:rPr>
        <w:t xml:space="preserve">Brady </w:t>
      </w:r>
      <w:r>
        <w:rPr>
          <w:rStyle w:val="Style13ptBold"/>
        </w:rPr>
        <w:t xml:space="preserve">2 -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p>
    <w:p w14:paraId="24C9608A" w14:textId="77777777" w:rsidR="00D31E39" w:rsidRPr="00645405" w:rsidRDefault="00D31E39" w:rsidP="00D31E39">
      <w:pPr>
        <w:rPr>
          <w:sz w:val="12"/>
        </w:rPr>
      </w:pPr>
      <w:r w:rsidRPr="00645405">
        <w:rPr>
          <w:sz w:val="12"/>
        </w:rPr>
        <w:t xml:space="preserve">On the matter of objectivity, Code (as cited in Alcoff,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007A4269">
        <w:rPr>
          <w:rStyle w:val="StyleUnderline"/>
        </w:rPr>
        <w:t xml:space="preserve">the reproduction of objectivity is presented in educational curricula as </w:t>
      </w:r>
      <w:r w:rsidRPr="000F01B2">
        <w:rPr>
          <w:rStyle w:val="StyleUnderline"/>
          <w:highlight w:val="yellow"/>
        </w:rPr>
        <w:t xml:space="preserve">students strive to follow </w:t>
      </w:r>
      <w:r w:rsidRPr="007A4269">
        <w:rPr>
          <w:rStyle w:val="StyleUnderline"/>
          <w:b/>
          <w:bCs/>
          <w:highlight w:val="yellow"/>
        </w:rPr>
        <w:t>a scientific model in order to seek a supposed truth</w:t>
      </w:r>
      <w:r w:rsidRPr="000F01B2">
        <w:rPr>
          <w:rStyle w:val="StyleUnderline"/>
          <w:highlight w:val="yellow"/>
        </w:rPr>
        <w:t xml:space="preserve">, </w:t>
      </w:r>
      <w:r w:rsidRPr="000F01B2">
        <w:rPr>
          <w:rStyle w:val="StyleUnderline"/>
          <w:highlight w:val="yellow"/>
        </w:rPr>
        <w:lastRenderedPageBreak/>
        <w:t xml:space="preserve">but this misses the significant situatedness of knowers, </w:t>
      </w:r>
      <w:r w:rsidRPr="00645405">
        <w:rPr>
          <w:sz w:val="12"/>
        </w:rPr>
        <w:t>group identities, and an analysis of systemic foundations of oppression (Alcoff,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00FC21C7">
        <w:rPr>
          <w:rStyle w:val="StyleUnderline"/>
          <w:b/>
          <w:bCs/>
          <w:highlight w:val="yellow"/>
        </w:rPr>
        <w:t>, objectivity is presented as the ultimate truth</w:t>
      </w:r>
      <w:r w:rsidRPr="00645405">
        <w:rPr>
          <w:sz w:val="12"/>
        </w:rPr>
        <w:t>.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are white men.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Others and are only provided in juxtaposition to or as additives on the normative base</w:t>
      </w:r>
      <w:r w:rsidRPr="00B331C5">
        <w:rPr>
          <w:rStyle w:val="StyleUnderline"/>
        </w:rPr>
        <w:t xml:space="preserve">. </w:t>
      </w:r>
      <w:r w:rsidRPr="00FC21C7">
        <w:rPr>
          <w:rStyle w:val="StyleUnderline"/>
          <w:highlight w:val="yellow"/>
        </w:rPr>
        <w:t xml:space="preserve">In an effort to achieve objectivity in education, the focus on </w:t>
      </w:r>
      <w:r w:rsidRPr="00FC21C7">
        <w:rPr>
          <w:rStyle w:val="StyleUnderline"/>
          <w:b/>
          <w:bCs/>
          <w:highlight w:val="yellow"/>
        </w:rPr>
        <w:t>essentializing difference</w:t>
      </w:r>
      <w:r w:rsidRPr="00FC21C7">
        <w:rPr>
          <w:rStyle w:val="StyleUnderline"/>
          <w:highlight w:val="yellow"/>
        </w:rPr>
        <w:t xml:space="preserve"> through</w:t>
      </w:r>
      <w:r w:rsidRPr="00645405">
        <w:rPr>
          <w:sz w:val="12"/>
        </w:rPr>
        <w:t xml:space="preserve"> liberal democratic </w:t>
      </w:r>
      <w:r w:rsidRPr="000F01B2">
        <w:rPr>
          <w:rStyle w:val="StyleUnderline"/>
          <w:b/>
          <w:bCs/>
          <w:highlight w:val="yellow"/>
        </w:rPr>
        <w:t>discursive practices of</w:t>
      </w:r>
      <w:r w:rsidRPr="00645405">
        <w:rPr>
          <w:b/>
          <w:bCs/>
          <w:sz w:val="12"/>
          <w:highlight w:val="yellow"/>
        </w:rPr>
        <w:t xml:space="preserve"> </w:t>
      </w:r>
      <w:r w:rsidRPr="00645405">
        <w:rPr>
          <w:sz w:val="12"/>
        </w:rPr>
        <w:t xml:space="preserve">tolerance, respect, and </w:t>
      </w:r>
      <w:r w:rsidRPr="000F01B2">
        <w:rPr>
          <w:rStyle w:val="StyleUnderline"/>
          <w:b/>
          <w:bCs/>
          <w:highlight w:val="yellow"/>
        </w:rPr>
        <w:t>fairness depicts racialized minorities and Indigenous peoples through a deficit perspective</w:t>
      </w:r>
      <w:r w:rsidRPr="00645405">
        <w:rPr>
          <w:sz w:val="12"/>
          <w:highlight w:val="yellow"/>
        </w:rPr>
        <w:t xml:space="preserve"> </w:t>
      </w:r>
      <w:r w:rsidRPr="00645405">
        <w:rPr>
          <w:sz w:val="12"/>
        </w:rPr>
        <w:t xml:space="preserve">(Abawi &amp; Brady, 2017; Dei, 1996). Therefore, Alcoff’s (2007) epistemology of ignorance of objectivity demonstrated how the subjugated are questioned: their values, experiences, and </w:t>
      </w:r>
      <w:r w:rsidRPr="00BB63A0">
        <w:rPr>
          <w:rStyle w:val="StyleUnderline"/>
          <w:highlight w:val="yellow"/>
        </w:rPr>
        <w:t xml:space="preserve">lived realities are labelled as subjective and </w:t>
      </w:r>
      <w:r w:rsidRPr="00645405">
        <w:rPr>
          <w:sz w:val="12"/>
        </w:rPr>
        <w:t>henceforth</w:t>
      </w:r>
      <w:r w:rsidRPr="00BB63A0">
        <w:rPr>
          <w:rStyle w:val="StyleUnderline"/>
          <w:highlight w:val="yellow"/>
        </w:rPr>
        <w:t xml:space="preserve"> weak</w:t>
      </w:r>
      <w:r w:rsidRPr="00645405">
        <w:rPr>
          <w:sz w:val="12"/>
        </w:rPr>
        <w:t xml:space="preserve">, non-encompassing ways of knowing. This leads to Alcoff’s discussion of the third epistemology of ignorance, which highlights the epistemic advantages and disadvantages to knowledge and ways of knowing. 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particular moments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The contextual experts carry the burden for the ignorant who dominate, thus reinforcing the idea of “sharing their subjective experiences.” As Lorde (1984) stated, People [of colour]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colour do not bear all of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moderncolonial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unlearning—is in contrast to what becomes sought after in </w:t>
      </w:r>
      <w:r w:rsidRPr="00D514C3">
        <w:rPr>
          <w:rStyle w:val="StyleUnderline"/>
          <w:highlight w:val="yellow"/>
        </w:rPr>
        <w:t>colonial education</w:t>
      </w:r>
      <w:r w:rsidRPr="00645405">
        <w:rPr>
          <w:sz w:val="12"/>
        </w:rPr>
        <w:t xml:space="preserve">, which </w:t>
      </w:r>
      <w:r w:rsidRPr="00D514C3">
        <w:rPr>
          <w:rStyle w:val="StyleUnderline"/>
          <w:highlight w:val="yellow"/>
        </w:rPr>
        <w:t xml:space="preserve">is rooted in </w:t>
      </w:r>
      <w:r w:rsidRPr="00645405">
        <w:rPr>
          <w:sz w:val="12"/>
        </w:rPr>
        <w:t>individualism and</w:t>
      </w:r>
      <w:r w:rsidRPr="00D514C3">
        <w:rPr>
          <w:rStyle w:val="StyleUnderline"/>
          <w:highlight w:val="yellow"/>
        </w:rPr>
        <w:t xml:space="preserve"> the ultimate quest </w:t>
      </w:r>
      <w:r w:rsidRPr="00796211">
        <w:rPr>
          <w:rStyle w:val="StyleUnderline"/>
          <w:highlight w:val="yellow"/>
        </w:rPr>
        <w:t>for</w:t>
      </w:r>
      <w:r w:rsidRPr="00796211">
        <w:rPr>
          <w:rStyle w:val="StyleUnderline"/>
          <w:b/>
          <w:bCs/>
          <w:highlight w:val="yellow"/>
        </w:rPr>
        <w:t xml:space="preserve"> knowledge, meritocracy, and </w:t>
      </w:r>
      <w:r w:rsidRPr="00FC21C7">
        <w:rPr>
          <w:rStyle w:val="StyleUnderline"/>
          <w:b/>
          <w:bCs/>
          <w:highlight w:val="yellow"/>
        </w:rPr>
        <w:t xml:space="preserve">excellence. </w:t>
      </w:r>
      <w:r w:rsidRPr="00645405">
        <w:rPr>
          <w:sz w:val="12"/>
        </w:rPr>
        <w:t xml:space="preserve">Students who are </w:t>
      </w:r>
      <w:r w:rsidRPr="00796211">
        <w:rPr>
          <w:sz w:val="12"/>
        </w:rPr>
        <w:t>from</w:t>
      </w:r>
      <w:r w:rsidRPr="00796211">
        <w:rPr>
          <w:rStyle w:val="StyleUnderline"/>
        </w:rPr>
        <w:t xml:space="preserve"> non-dominant groups are </w:t>
      </w:r>
      <w:r w:rsidRPr="00796211">
        <w:rPr>
          <w:rStyle w:val="StyleUnderline"/>
          <w:b/>
          <w:bCs/>
        </w:rPr>
        <w:t xml:space="preserve">forced to attempt scholarly excellence </w:t>
      </w:r>
      <w:r w:rsidRPr="00796211">
        <w:rPr>
          <w:sz w:val="12"/>
        </w:rPr>
        <w:t>in institutions</w:t>
      </w:r>
      <w:r w:rsidRPr="00796211">
        <w:rPr>
          <w:rStyle w:val="StyleUnderline"/>
          <w:b/>
          <w:bCs/>
        </w:rPr>
        <w:t xml:space="preserve"> based on individualism</w:t>
      </w:r>
      <w:r w:rsidRPr="00796211">
        <w:rPr>
          <w:rStyle w:val="StyleUnderline"/>
        </w:rPr>
        <w:t xml:space="preserve"> </w:t>
      </w:r>
      <w:r w:rsidRPr="00796211">
        <w:rPr>
          <w:sz w:val="12"/>
        </w:rPr>
        <w:t>while their very ancestral, family, and community settings are contradictorily based in holistic and community-based ways of knowing and organizing. Therefore, the consumption of knowledge does not become a sharing process, but a process based on individual ownership</w:t>
      </w:r>
      <w:r w:rsidRPr="00645405">
        <w:rPr>
          <w:sz w:val="12"/>
        </w:rPr>
        <w:t xml:space="preserve"> of knowledge, and</w:t>
      </w:r>
      <w:r w:rsidRPr="00D514C3">
        <w:rPr>
          <w:rStyle w:val="StyleUnderline"/>
        </w:rPr>
        <w:t xml:space="preserve"> </w:t>
      </w:r>
      <w:r w:rsidRPr="00D514C3">
        <w:rPr>
          <w:rStyle w:val="StyleUnderline"/>
          <w:b/>
          <w:bCs/>
          <w:highlight w:val="yellow"/>
        </w:rPr>
        <w:t xml:space="preserve">those with access to such value systems succeed </w:t>
      </w:r>
      <w:r w:rsidRPr="00645405">
        <w:rPr>
          <w:sz w:val="12"/>
        </w:rPr>
        <w:t>while those who come with humility are pushed out of schools</w:t>
      </w:r>
      <w:r w:rsidRPr="00D514C3">
        <w:rPr>
          <w:rStyle w:val="StyleUnderline"/>
        </w:rPr>
        <w:t xml:space="preserve"> </w:t>
      </w:r>
      <w:r w:rsidRPr="00645405">
        <w:rPr>
          <w:sz w:val="12"/>
        </w:rPr>
        <w:t>(Dei et al., 1997). This focus on individualism is further exacerbated through neo-liberalist education. In this context, while education promotes group work, academic success advantages individuals (Giroux, 2003). The danger here is that</w:t>
      </w:r>
      <w:r w:rsidRPr="00BB63A0">
        <w:rPr>
          <w:rStyle w:val="StyleUnderline"/>
        </w:rPr>
        <w:t xml:space="preserve"> </w:t>
      </w:r>
      <w:r w:rsidRPr="000F01B2">
        <w:rPr>
          <w:rStyle w:val="StyleUnderline"/>
          <w:b/>
          <w:highlight w:val="yellow"/>
        </w:rPr>
        <w:t>students begin to believe their academic success is based on their own merit</w:t>
      </w:r>
      <w:r w:rsidRPr="00BB63A0">
        <w:rPr>
          <w:rStyle w:val="StyleUnderline"/>
          <w:highlight w:val="yellow"/>
        </w:rPr>
        <w:t xml:space="preserve"> rather than the systems which afford them privilege. </w:t>
      </w:r>
      <w:r w:rsidRPr="00645405">
        <w:rPr>
          <w:sz w:val="12"/>
        </w:rPr>
        <w:t xml:space="preserve">This results in </w:t>
      </w:r>
      <w:r w:rsidRPr="00BB63A0">
        <w:rPr>
          <w:rStyle w:val="StyleUnderline"/>
          <w:highlight w:val="yellow"/>
        </w:rPr>
        <w:t xml:space="preserve">mantras of equality </w:t>
      </w:r>
      <w:r w:rsidRPr="00645405">
        <w:rPr>
          <w:sz w:val="12"/>
        </w:rPr>
        <w:t xml:space="preserve">falling under the veil of liberalism, sameness, and meritocracy. This individualism also creates chants like “All lives matter,” which is critical of the Black Lives Matter movement and supports the belief, </w:t>
      </w:r>
      <w:r w:rsidRPr="007A4269">
        <w:rPr>
          <w:rStyle w:val="StyleUnderline"/>
          <w:b/>
          <w:bCs/>
          <w:highlight w:val="yellow"/>
        </w:rPr>
        <w:t>built on an epistemology of ignorance, that all lives are subjected to the same trials</w:t>
      </w:r>
      <w:r w:rsidRPr="00645405">
        <w:rPr>
          <w:sz w:val="12"/>
        </w:rPr>
        <w:t>. This perpetuates ignorance and objective knowledge systems, while negating and furthering the expendable nature of Blackness, Indigenousness, and Black and Brown bodies. Hence, scholars have explored the dangerous nature of claiming that “All lives matter” (Adjei, 2016; Carney, 2016; Orbe, 2015; Yancy &amp; Butler, 2015), believing it</w:t>
      </w:r>
      <w:r w:rsidRPr="00D514C3">
        <w:rPr>
          <w:rStyle w:val="StyleUnderline"/>
        </w:rPr>
        <w:t xml:space="preserve"> </w:t>
      </w:r>
      <w:r w:rsidRPr="00FC21C7">
        <w:rPr>
          <w:rStyle w:val="StyleUnderline"/>
          <w:highlight w:val="yellow"/>
        </w:rPr>
        <w:t xml:space="preserve">upholds white supremacy and denies </w:t>
      </w:r>
      <w:r w:rsidRPr="00645405">
        <w:rPr>
          <w:sz w:val="12"/>
        </w:rPr>
        <w:t>the</w:t>
      </w:r>
      <w:r w:rsidRPr="00FC21C7">
        <w:rPr>
          <w:rStyle w:val="StyleUnderline"/>
          <w:highlight w:val="yellow"/>
        </w:rPr>
        <w:t xml:space="preserve"> police brutality </w:t>
      </w:r>
      <w:r w:rsidRPr="00645405">
        <w:rPr>
          <w:sz w:val="12"/>
        </w:rPr>
        <w:t>of Black people, the Missing and Murdered Indigenous Women, and Islamophobic attacks. Such a claim to innocence becomes key to upholding systems of oppression, which are often silenced and denied by the dominant group. Therefore</w:t>
      </w:r>
      <w:r w:rsidRPr="00B25294">
        <w:rPr>
          <w:rStyle w:val="StyleUnderline"/>
        </w:rPr>
        <w:t xml:space="preserve">, </w:t>
      </w:r>
      <w:r w:rsidRPr="007A4269">
        <w:rPr>
          <w:rStyle w:val="StyleUnderline"/>
          <w:b/>
          <w:bCs/>
          <w:highlight w:val="yellow"/>
        </w:rPr>
        <w:t>educators</w:t>
      </w:r>
      <w:r w:rsidRPr="00B25294">
        <w:rPr>
          <w:rStyle w:val="StyleUnderline"/>
        </w:rPr>
        <w:t xml:space="preserve">, </w:t>
      </w:r>
      <w:r w:rsidRPr="00645405">
        <w:rPr>
          <w:sz w:val="12"/>
        </w:rPr>
        <w:t xml:space="preserve">students, community members, and parents/families </w:t>
      </w:r>
      <w:r w:rsidRPr="007A4269">
        <w:rPr>
          <w:rStyle w:val="StyleUnderline"/>
          <w:b/>
          <w:bCs/>
          <w:highlight w:val="yellow"/>
        </w:rPr>
        <w:t>need to trouble the ideal of</w:t>
      </w:r>
      <w:r w:rsidRPr="00B25294">
        <w:rPr>
          <w:rStyle w:val="StyleUnderline"/>
          <w:highlight w:val="yellow"/>
        </w:rPr>
        <w:t xml:space="preserve"> </w:t>
      </w:r>
      <w:r w:rsidRPr="00645405">
        <w:rPr>
          <w:sz w:val="12"/>
        </w:rPr>
        <w:t>equality</w:t>
      </w:r>
      <w:r w:rsidRPr="00B25294">
        <w:rPr>
          <w:rStyle w:val="StyleUnderline"/>
        </w:rPr>
        <w:t xml:space="preserve"> </w:t>
      </w:r>
      <w:r w:rsidRPr="00645405">
        <w:rPr>
          <w:sz w:val="12"/>
        </w:rPr>
        <w:t>and</w:t>
      </w:r>
      <w:r w:rsidRPr="00B25294">
        <w:rPr>
          <w:rStyle w:val="StyleUnderline"/>
        </w:rPr>
        <w:t xml:space="preserve"> </w:t>
      </w:r>
      <w:r w:rsidRPr="007A4269">
        <w:rPr>
          <w:rStyle w:val="StyleUnderline"/>
          <w:b/>
          <w:bCs/>
          <w:highlight w:val="yellow"/>
        </w:rPr>
        <w:t>claims to fairness for all</w:t>
      </w:r>
      <w:r w:rsidRPr="00645405">
        <w:rPr>
          <w:sz w:val="12"/>
          <w:highlight w:val="yellow"/>
        </w:rPr>
        <w:t xml:space="preserve"> </w:t>
      </w:r>
      <w:r w:rsidRPr="00645405">
        <w:rPr>
          <w:sz w:val="12"/>
        </w:rPr>
        <w:t xml:space="preserve">in reimagining new possibilities for hope and change. </w:t>
      </w:r>
    </w:p>
    <w:p w14:paraId="5C89559D" w14:textId="77777777" w:rsidR="00D31E39" w:rsidRPr="006872C1" w:rsidRDefault="00D31E39" w:rsidP="00D31E39">
      <w:pPr>
        <w:pStyle w:val="Heading4"/>
      </w:pPr>
      <w:r>
        <w:t xml:space="preserve">[2] Notions of fairness in agonistic games are hopelessly vague and ideologically reinforce conquest  </w:t>
      </w:r>
    </w:p>
    <w:p w14:paraId="1BA64CD1" w14:textId="77777777" w:rsidR="00D31E39" w:rsidRPr="001B7729" w:rsidRDefault="00D31E39" w:rsidP="00D31E39">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55DDAD2A" w14:textId="77777777" w:rsidR="00D31E39" w:rsidRPr="00FB1114" w:rsidRDefault="00D31E39" w:rsidP="00D31E39">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w:t>
      </w:r>
      <w:r w:rsidRPr="00993083">
        <w:rPr>
          <w:rStyle w:val="StyleUnderline"/>
        </w:rPr>
        <w:lastRenderedPageBreak/>
        <w:t xml:space="preserve">‘level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w:t>
      </w:r>
      <w:r w:rsidRPr="00FB1114">
        <w:rPr>
          <w:sz w:val="10"/>
        </w:rPr>
        <w:lastRenderedPageBreak/>
        <w:t>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344909C9" w14:textId="77777777" w:rsidR="00D31E39" w:rsidRPr="00336DB5" w:rsidRDefault="00D31E39" w:rsidP="00D31E39">
      <w:pPr>
        <w:pStyle w:val="Heading4"/>
      </w:pPr>
      <w:r w:rsidRPr="00336DB5">
        <w:lastRenderedPageBreak/>
        <w:t>[</w:t>
      </w:r>
      <w:r>
        <w:t>3</w:t>
      </w:r>
      <w:r w:rsidRPr="00336DB5">
        <w:t>] We can cross apply the aff to theory. Solves ideological dogmatism and content exploration</w:t>
      </w:r>
      <w:r>
        <w:t xml:space="preserve"> and turns every standard </w:t>
      </w:r>
      <w:r w:rsidRPr="00336DB5">
        <w:t xml:space="preserve"> </w:t>
      </w:r>
    </w:p>
    <w:p w14:paraId="71094294" w14:textId="77777777" w:rsidR="00D31E39" w:rsidRPr="00336DB5" w:rsidRDefault="00D31E39" w:rsidP="00D31E39">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0B4C0A73" w14:textId="77777777" w:rsidR="00D31E39" w:rsidRPr="001974A8" w:rsidRDefault="00D31E39" w:rsidP="00D31E39">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7F3999CB" w14:textId="77777777" w:rsidR="00D31E39" w:rsidRDefault="00D31E39" w:rsidP="00D31E39">
      <w:pPr>
        <w:pStyle w:val="Heading3"/>
      </w:pPr>
      <w:r>
        <w:lastRenderedPageBreak/>
        <w:t>Offense</w:t>
      </w:r>
    </w:p>
    <w:p w14:paraId="5FCDED8A" w14:textId="77777777" w:rsidR="00D31E39" w:rsidRDefault="00D31E39" w:rsidP="00D31E39">
      <w:pPr>
        <w:pStyle w:val="Heading4"/>
      </w:pPr>
      <w:r w:rsidRPr="00FC59D3">
        <w:t xml:space="preserve">Advocacy text: </w:t>
      </w:r>
      <w:r>
        <w:t>Ill defend that t</w:t>
      </w:r>
      <w:r w:rsidRPr="00FC59D3">
        <w:t>he member nations of the World Trade Organization ought to reduce intellectual property protections for medicines</w:t>
      </w:r>
      <w:r>
        <w:t xml:space="preserve">. I am not role playing the state, just stating the current state of affairs is unethical.   </w:t>
      </w:r>
    </w:p>
    <w:p w14:paraId="7A1EBD71" w14:textId="77777777" w:rsidR="00D31E39" w:rsidRPr="001449F3" w:rsidRDefault="00D31E39" w:rsidP="00D31E39">
      <w:pPr>
        <w:pStyle w:val="Heading4"/>
      </w:pPr>
      <w:r>
        <w:t xml:space="preserve">That </w:t>
      </w:r>
      <w:r w:rsidRPr="001449F3">
        <w:t>affirms</w:t>
      </w:r>
    </w:p>
    <w:p w14:paraId="085690FD" w14:textId="77777777" w:rsidR="00D31E39" w:rsidRPr="004F20F0" w:rsidRDefault="00D31E39" w:rsidP="00D31E39">
      <w:pPr>
        <w:pStyle w:val="Heading4"/>
      </w:pPr>
      <w:r>
        <w:t xml:space="preserve">[1] Patents on medicine create a hierarchy of cultural practices </w:t>
      </w:r>
    </w:p>
    <w:p w14:paraId="7C04F3FA" w14:textId="77777777" w:rsidR="00D31E39" w:rsidRDefault="00D31E39" w:rsidP="00D31E39">
      <w:r>
        <w:rPr>
          <w:rStyle w:val="Style13ptBold"/>
        </w:rPr>
        <w:t xml:space="preserve">Curbishley 15 - </w:t>
      </w:r>
      <w:r w:rsidRPr="00921164">
        <w:rPr>
          <w:rStyle w:val="Style13ptBold"/>
        </w:rPr>
        <w:t>Liddy Scarlet Curbishley student Masters of Humanities in Gender Studies August 2015</w:t>
      </w:r>
      <w:r>
        <w:t xml:space="preserve"> “Destabilizing the Colonization of Indigenous Knowledge In the Case of Biopiracy” [https://dspace.library.uu.nl/bitstream/handle/1874/319612/Liddy%20Thesis.pdf] Accessed 8/13/21 SAO</w:t>
      </w:r>
    </w:p>
    <w:p w14:paraId="6510B541" w14:textId="77777777" w:rsidR="00D31E39" w:rsidRPr="003C4685" w:rsidRDefault="00D31E39" w:rsidP="00D31E39">
      <w:pPr>
        <w:rPr>
          <w:sz w:val="12"/>
        </w:rPr>
      </w:pPr>
      <w:r w:rsidRPr="004B0CE4">
        <w:rPr>
          <w:rStyle w:val="StyleUnderline"/>
          <w:highlight w:val="yellow"/>
        </w:rPr>
        <w:t xml:space="preserve">The production of scientific </w:t>
      </w:r>
      <w:r w:rsidRPr="003C4685">
        <w:rPr>
          <w:rStyle w:val="StyleUnderline"/>
        </w:rPr>
        <w:t xml:space="preserve">and technological </w:t>
      </w:r>
      <w:r w:rsidRPr="004B0CE4">
        <w:rPr>
          <w:rStyle w:val="StyleUnderline"/>
          <w:highlight w:val="yellow"/>
        </w:rPr>
        <w:t>knowledge has a history of hierarchical oppression</w:t>
      </w:r>
      <w:r w:rsidRPr="003C4685">
        <w:rPr>
          <w:sz w:val="12"/>
        </w:rPr>
        <w:t xml:space="preserve">. From the inception of scientific experimentation </w:t>
      </w:r>
      <w:r w:rsidRPr="009A717D">
        <w:rPr>
          <w:rStyle w:val="StyleUnderline"/>
        </w:rPr>
        <w:t>those deemed suitable to produce knowledge and in which way was clearly defined</w:t>
      </w:r>
      <w:r w:rsidRPr="003C4685">
        <w:rPr>
          <w:sz w:val="12"/>
        </w:rPr>
        <w:t xml:space="preserve">. And so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embodied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and also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Subjectivites through constructing, re-presenting and positioning as less capable due to these categorizations. An intersectional (Crenshaw, 1989) indigenous identity, whereby an indigenous person suffers oppression along multiple lines; gender, race, ethnicity and class, leads to the entire marginalization and trivialization of knowledges produced by the indigenous Subject. </w:t>
      </w:r>
      <w:r w:rsidRPr="009A717D">
        <w:rPr>
          <w:rStyle w:val="StyleUnderline"/>
        </w:rPr>
        <w:t xml:space="preserve">Knowledges produced outside of the dominant paradigm becomes subjugated </w:t>
      </w:r>
      <w:r w:rsidRPr="003C4685">
        <w:rPr>
          <w:sz w:val="12"/>
          <w:szCs w:val="16"/>
        </w:rPr>
        <w:t>as they are</w:t>
      </w:r>
      <w:r w:rsidRPr="003C4685">
        <w:rPr>
          <w:sz w:val="12"/>
        </w:rPr>
        <w:t xml:space="preserve">: “either </w:t>
      </w:r>
      <w:r w:rsidRPr="009A717D">
        <w:rPr>
          <w:rStyle w:val="StyleUnderline"/>
        </w:rPr>
        <w:t xml:space="preserve">hidden behind </w:t>
      </w:r>
      <w:r w:rsidRPr="003C4685">
        <w:rPr>
          <w:sz w:val="12"/>
          <w:szCs w:val="16"/>
        </w:rPr>
        <w:t>more</w:t>
      </w:r>
      <w:r w:rsidRPr="009A717D">
        <w:rPr>
          <w:rStyle w:val="StyleUnderline"/>
        </w:rPr>
        <w:t xml:space="preserve"> dominant knowledges</w:t>
      </w:r>
      <w:r w:rsidRPr="003C4685">
        <w:rPr>
          <w:sz w:val="12"/>
        </w:rPr>
        <w:t xml:space="preserve"> but can be revealed by critique </w:t>
      </w:r>
      <w:r w:rsidRPr="009A717D">
        <w:rPr>
          <w:rStyle w:val="StyleUnderline"/>
        </w:rPr>
        <w:t>or have been explicitly disqualified as inadequate</w:t>
      </w:r>
      <w:r w:rsidRPr="003C4685">
        <w:rPr>
          <w:sz w:val="12"/>
        </w:rPr>
        <w:t xml:space="preserve"> to their task or insufficiently elaborated: naive knowledges, located low down on the hierarchy, beneath the required level of cognition or scientificity” (Foucault, 1980: 82). </w:t>
      </w:r>
      <w:r w:rsidRPr="004B0CE4">
        <w:rPr>
          <w:rStyle w:val="StyleUnderline"/>
          <w:highlight w:val="yellow"/>
        </w:rPr>
        <w:t>Positivist accounts of Eurocentric masculinist knowledges are</w:t>
      </w:r>
      <w:r w:rsidRPr="003C4685">
        <w:rPr>
          <w:sz w:val="12"/>
        </w:rPr>
        <w:t xml:space="preserve"> often </w:t>
      </w:r>
      <w:r w:rsidRPr="004B0CE4">
        <w:rPr>
          <w:rStyle w:val="StyleUnderline"/>
          <w:highlight w:val="yellow"/>
        </w:rPr>
        <w:t>in direct opposition to knowledges produced by</w:t>
      </w:r>
      <w:r w:rsidRPr="003C4685">
        <w:rPr>
          <w:sz w:val="12"/>
        </w:rPr>
        <w:t xml:space="preserve"> subordinate groups, such as </w:t>
      </w:r>
      <w:r w:rsidRPr="004B0CE4">
        <w:rPr>
          <w:rStyle w:val="StyleUnderline"/>
          <w:highlight w:val="yellow"/>
        </w:rPr>
        <w:t>indigenous peoples</w:t>
      </w:r>
      <w:r w:rsidRPr="003C4685">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sidRPr="009A717D">
        <w:rPr>
          <w:rStyle w:val="StyleUnderline"/>
        </w:rPr>
        <w:t>Knowledge and power intertwine to become a nexus of considerable force, continually constructing one another, capable of defining discourse</w:t>
      </w:r>
      <w:r w:rsidRPr="003C4685">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regulation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sidRPr="009A717D">
        <w:rPr>
          <w:rStyle w:val="StyleUnderline"/>
        </w:rPr>
        <w:t>The dominating power/knowledge nexus generates inequalities in the way knowledge is structured by legitimizing itself and delegitimizing alternatives</w:t>
      </w:r>
      <w:r w:rsidRPr="003C4685">
        <w:rPr>
          <w:sz w:val="12"/>
        </w:rPr>
        <w:t xml:space="preserve"> (Shiva, 1993: 9). This is what leads Shiva to argue that </w:t>
      </w:r>
      <w:r w:rsidRPr="004B0CE4">
        <w:rPr>
          <w:rStyle w:val="StyleUnderline"/>
          <w:highlight w:val="yellow"/>
        </w:rPr>
        <w:t>modern knowledge systems</w:t>
      </w:r>
      <w:r w:rsidRPr="003C4685">
        <w:rPr>
          <w:rStyle w:val="StyleUnderline"/>
        </w:rPr>
        <w:t xml:space="preserve">, emerging from a colonizing culture, </w:t>
      </w:r>
      <w:r w:rsidRPr="004B0CE4">
        <w:rPr>
          <w:rStyle w:val="StyleUnderline"/>
          <w:highlight w:val="yellow"/>
        </w:rPr>
        <w:t>are themselves colonizing</w:t>
      </w:r>
      <w:r w:rsidRPr="003C4685">
        <w:rPr>
          <w:sz w:val="12"/>
        </w:rPr>
        <w:t xml:space="preserve"> (9).  As discussed previously, the concept of </w:t>
      </w:r>
      <w:r w:rsidRPr="004B0CE4">
        <w:rPr>
          <w:rStyle w:val="StyleUnderline"/>
          <w:highlight w:val="yellow"/>
        </w:rPr>
        <w:t xml:space="preserve">biopiracy has its </w:t>
      </w:r>
      <w:r w:rsidRPr="003C4685">
        <w:rPr>
          <w:rStyle w:val="StyleUnderline"/>
        </w:rPr>
        <w:t xml:space="preserve">epistemological </w:t>
      </w:r>
      <w:r w:rsidRPr="004B0CE4">
        <w:rPr>
          <w:rStyle w:val="StyleUnderline"/>
          <w:highlight w:val="yellow"/>
        </w:rPr>
        <w:t xml:space="preserve">roots in the colonial </w:t>
      </w:r>
      <w:r w:rsidRPr="003C4685">
        <w:rPr>
          <w:rStyle w:val="StyleUnderline"/>
        </w:rPr>
        <w:t>period</w:t>
      </w:r>
      <w:r w:rsidRPr="003C4685">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compensation to the community from which it originates” (Taylor, 2014). Ethnopharmacological studies have enticed many researchers and anthropologists to biodiverse areas of the Global South in search of ancient wisdom for contemporary healing (Lee and Balik, 2001).15 This type of </w:t>
      </w:r>
      <w:r w:rsidRPr="009A717D">
        <w:rPr>
          <w:rStyle w:val="StyleUnderline"/>
        </w:rPr>
        <w:t>ecoethno research is highly problematic</w:t>
      </w:r>
      <w:r w:rsidRPr="003C4685">
        <w:rPr>
          <w:sz w:val="12"/>
        </w:rPr>
        <w:t xml:space="preserve"> for various reasons as has been discussed previously. </w:t>
      </w:r>
      <w:r w:rsidRPr="004B0CE4">
        <w:rPr>
          <w:rStyle w:val="StyleUnderline"/>
          <w:highlight w:val="yellow"/>
        </w:rPr>
        <w:t>When multinational</w:t>
      </w:r>
      <w:r w:rsidRPr="003C4685">
        <w:rPr>
          <w:sz w:val="12"/>
        </w:rPr>
        <w:t xml:space="preserve"> pharmaceutical and agrichemical </w:t>
      </w:r>
      <w:r w:rsidRPr="004B0CE4">
        <w:rPr>
          <w:rStyle w:val="StyleUnderline"/>
          <w:highlight w:val="yellow"/>
        </w:rPr>
        <w:t>companies fund research</w:t>
      </w:r>
      <w:r w:rsidRPr="003C4685">
        <w:rPr>
          <w:sz w:val="12"/>
        </w:rPr>
        <w:t xml:space="preserve"> with invested interests in exploiting indigenous knowledges for the exclusive economic enrichment of the Global North (Tamale, 2001: 28) </w:t>
      </w:r>
      <w:r w:rsidRPr="004B0CE4">
        <w:rPr>
          <w:rStyle w:val="StyleUnderline"/>
          <w:highlight w:val="yellow"/>
        </w:rPr>
        <w:t>the</w:t>
      </w:r>
      <w:r w:rsidRPr="003C4685">
        <w:rPr>
          <w:sz w:val="12"/>
        </w:rPr>
        <w:t xml:space="preserve"> </w:t>
      </w:r>
      <w:r w:rsidRPr="004B0CE4">
        <w:rPr>
          <w:rStyle w:val="StyleUnderline"/>
          <w:highlight w:val="yellow"/>
        </w:rPr>
        <w:t xml:space="preserve">central knowledge producing role of the </w:t>
      </w:r>
      <w:r w:rsidRPr="003C4685">
        <w:rPr>
          <w:rStyle w:val="StyleUnderline"/>
        </w:rPr>
        <w:t xml:space="preserve">indigenous </w:t>
      </w:r>
      <w:r w:rsidRPr="004B0CE4">
        <w:rPr>
          <w:rStyle w:val="StyleUnderline"/>
          <w:highlight w:val="yellow"/>
        </w:rPr>
        <w:t>Other is obscured</w:t>
      </w:r>
      <w:r w:rsidRPr="003C4685">
        <w:rPr>
          <w:sz w:val="12"/>
        </w:rPr>
        <w:t xml:space="preserve"> in Western discourse and the economic relation between indigenous peoples, resources and the Global North is denied or presented in a paternalistic frame (Plumwood,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sidRPr="003C4685">
        <w:rPr>
          <w:rStyle w:val="StyleUnderline"/>
        </w:rPr>
        <w:t xml:space="preserve">The only reason something like that can work is because </w:t>
      </w:r>
      <w:r w:rsidRPr="004B0CE4">
        <w:rPr>
          <w:rStyle w:val="StyleUnderline"/>
          <w:highlight w:val="yellow"/>
        </w:rPr>
        <w:t xml:space="preserve">underlying it all is a racist framework that says the </w:t>
      </w:r>
      <w:r w:rsidRPr="004B0CE4">
        <w:rPr>
          <w:rStyle w:val="StyleUnderline"/>
          <w:highlight w:val="yellow"/>
        </w:rPr>
        <w:lastRenderedPageBreak/>
        <w:t xml:space="preserve">knowledge </w:t>
      </w:r>
      <w:r w:rsidRPr="003C4685">
        <w:rPr>
          <w:rStyle w:val="StyleUnderline"/>
        </w:rPr>
        <w:t xml:space="preserve">of the Third World and the knowledge </w:t>
      </w:r>
      <w:r w:rsidRPr="004B0CE4">
        <w:rPr>
          <w:rStyle w:val="StyleUnderline"/>
          <w:highlight w:val="yellow"/>
        </w:rPr>
        <w:t>of people of colour is not knowledge</w:t>
      </w:r>
      <w:r w:rsidRPr="003C4685">
        <w:rPr>
          <w:sz w:val="12"/>
        </w:rPr>
        <w:t xml:space="preserve">. When that knowledge is taken by white men who have capital, suddenly creativity begins… </w:t>
      </w:r>
      <w:r w:rsidRPr="009A717D">
        <w:rPr>
          <w:rStyle w:val="StyleUnderline"/>
          <w:b/>
          <w:highlight w:val="yellow"/>
        </w:rPr>
        <w:t>Patents are a replay of colonialism</w:t>
      </w:r>
      <w:r w:rsidRPr="003C4685">
        <w:rPr>
          <w:sz w:val="12"/>
        </w:rPr>
        <w:t xml:space="preserve">, which is now called globalization and free trade” (Shiva, cited in Mohanty, 2003: 232- 233, emphasis added). </w:t>
      </w:r>
      <w:r w:rsidRPr="003C4685">
        <w:rPr>
          <w:rStyle w:val="StyleUnderline"/>
        </w:rPr>
        <w:t>Indigenous knowledges are discounted when they emanate from a racialized indigenous Subject</w:t>
      </w:r>
      <w:r w:rsidRPr="003C4685">
        <w:rPr>
          <w:sz w:val="12"/>
        </w:rPr>
        <w:t xml:space="preserve">, yet that same knowledge is venerated when it emanates from a Global North Subject. Biopiracy operates as another mechanism of silencing the indigenous Subject, </w:t>
      </w:r>
      <w:r w:rsidRPr="004B0CE4">
        <w:rPr>
          <w:rStyle w:val="StyleUnderline"/>
          <w:highlight w:val="yellow"/>
        </w:rPr>
        <w:t xml:space="preserve">Those who do not fit within the neo-liberal capitalist regime </w:t>
      </w:r>
      <w:r w:rsidRPr="003C4685">
        <w:rPr>
          <w:rStyle w:val="StyleUnderline"/>
        </w:rPr>
        <w:t xml:space="preserve">and Global North’s narrow concept of modernity </w:t>
      </w:r>
      <w:r w:rsidRPr="004B0CE4">
        <w:rPr>
          <w:rStyle w:val="StyleUnderline"/>
          <w:highlight w:val="yellow"/>
        </w:rPr>
        <w:t xml:space="preserve">are disqualified, </w:t>
      </w:r>
      <w:r w:rsidRPr="003C4685">
        <w:rPr>
          <w:rStyle w:val="StyleUnderline"/>
        </w:rPr>
        <w:t>therefore reifying the Global North’s supremacy</w:t>
      </w:r>
      <w:r w:rsidRPr="003C4685">
        <w:rPr>
          <w:sz w:val="12"/>
        </w:rPr>
        <w:t xml:space="preserve">. </w:t>
      </w:r>
      <w:r w:rsidRPr="003C4685">
        <w:rPr>
          <w:rStyle w:val="StyleUnderline"/>
          <w:b/>
          <w:bCs/>
          <w:highlight w:val="yellow"/>
        </w:rPr>
        <w:t>This act is authorized by</w:t>
      </w:r>
      <w:r w:rsidRPr="003C4685">
        <w:rPr>
          <w:sz w:val="12"/>
        </w:rPr>
        <w:t xml:space="preserve"> the subtle nuances of </w:t>
      </w:r>
      <w:r w:rsidRPr="003C4685">
        <w:rPr>
          <w:rStyle w:val="StyleUnderline"/>
          <w:b/>
          <w:bCs/>
          <w:highlight w:val="yellow"/>
        </w:rPr>
        <w:t>international</w:t>
      </w:r>
      <w:r w:rsidRPr="003C4685">
        <w:rPr>
          <w:b/>
          <w:bCs/>
          <w:sz w:val="12"/>
        </w:rPr>
        <w:t xml:space="preserve"> </w:t>
      </w:r>
      <w:r w:rsidRPr="003C4685">
        <w:rPr>
          <w:rStyle w:val="StyleUnderline"/>
          <w:b/>
          <w:bCs/>
          <w:highlight w:val="yellow"/>
        </w:rPr>
        <w:t>legislation</w:t>
      </w:r>
      <w:r w:rsidRPr="003C4685">
        <w:rPr>
          <w:sz w:val="12"/>
        </w:rPr>
        <w:t xml:space="preserve"> on the rights of indigenous peoples and trade and patent related laws </w:t>
      </w:r>
      <w:r w:rsidRPr="003C4685">
        <w:rPr>
          <w:rStyle w:val="StyleUnderline"/>
        </w:rPr>
        <w:t>that circumvent obstacles to the misappropriation of indigenous knowledges.</w:t>
      </w:r>
      <w:r w:rsidRPr="003C4685">
        <w:rPr>
          <w:sz w:val="12"/>
        </w:rPr>
        <w:t xml:space="preserve"> </w:t>
      </w:r>
      <w:r w:rsidRPr="003C4685">
        <w:rPr>
          <w:rStyle w:val="StyleUnderline"/>
        </w:rPr>
        <w:t>Subject construction of the natural, inferior indigenous Other is created and sustained</w:t>
      </w:r>
      <w:r w:rsidRPr="003C4685">
        <w:rPr>
          <w:sz w:val="12"/>
        </w:rPr>
        <w:t xml:space="preserve"> through these documents, as will be analysed in chapter four, </w:t>
      </w:r>
      <w:r w:rsidRPr="003C4685">
        <w:rPr>
          <w:rStyle w:val="StyleUnderline"/>
        </w:rPr>
        <w:t>enabling</w:t>
      </w:r>
      <w:r w:rsidRPr="003C4685">
        <w:rPr>
          <w:sz w:val="12"/>
        </w:rPr>
        <w:t xml:space="preserve"> this discourse of </w:t>
      </w:r>
      <w:r w:rsidRPr="003C4685">
        <w:rPr>
          <w:rStyle w:val="StyleUnderline"/>
        </w:rPr>
        <w:t>exploitation</w:t>
      </w:r>
      <w:r w:rsidRPr="003C4685">
        <w:rPr>
          <w:sz w:val="12"/>
        </w:rPr>
        <w:t>. In the following chapter the postcolonial ecofeminist perspective used to frame this exploration will be detailed, accompanied by the critical discourse methodology that will be used to analyse the international legislation.</w:t>
      </w:r>
    </w:p>
    <w:p w14:paraId="4D066D22" w14:textId="77777777" w:rsidR="00D31E39" w:rsidRPr="00184178" w:rsidRDefault="00D31E39" w:rsidP="00D31E39">
      <w:pPr>
        <w:pStyle w:val="Heading4"/>
      </w:pPr>
      <w:r>
        <w:t xml:space="preserve">[2] </w:t>
      </w:r>
      <w:r w:rsidRPr="00184178">
        <w:t xml:space="preserve">Patents on </w:t>
      </w:r>
      <w:r>
        <w:t xml:space="preserve">medicine </w:t>
      </w:r>
      <w:r w:rsidRPr="00184178">
        <w:t>are a part of a reductionist epistemology that treats life-forms as commodities and machines</w:t>
      </w:r>
    </w:p>
    <w:p w14:paraId="0A95881F" w14:textId="77777777" w:rsidR="00D31E39" w:rsidRPr="003C7BF4" w:rsidRDefault="00D31E39" w:rsidP="00D31E39">
      <w:r>
        <w:rPr>
          <w:rStyle w:val="Style13ptBold"/>
        </w:rPr>
        <w:t xml:space="preserve">Shiva 14 - </w:t>
      </w:r>
      <w:r w:rsidRPr="00921164">
        <w:rPr>
          <w:rStyle w:val="Style13ptBold"/>
        </w:rPr>
        <w:t xml:space="preserve">Vandana Shiva, in her book the Vandana Shiva Reader, published by The University Press of Kentucky Scholarly publisher for the Commonwealth in 2014 </w:t>
      </w:r>
      <w:r w:rsidRPr="00921164">
        <w:t>“</w:t>
      </w:r>
      <w:r>
        <w:t>ISBN 978-0-8131-4560-0” [Pgs 193-200] Accessed 8/13/21 SAO</w:t>
      </w:r>
    </w:p>
    <w:p w14:paraId="2593CDC7" w14:textId="77777777" w:rsidR="00D31E39" w:rsidRDefault="00D31E39" w:rsidP="00D31E39">
      <w:pPr>
        <w:rPr>
          <w:rStyle w:val="StyleUnderline"/>
        </w:rPr>
      </w:pPr>
      <w:r w:rsidRPr="003C4685">
        <w:rPr>
          <w:rStyle w:val="StyleUnderline"/>
        </w:rPr>
        <w:t>Patenting living organisms encourages two forms of violence. First, life-forms are treated as if they are mere machines, thus denying their self-organizing capacity.</w:t>
      </w:r>
      <w:r w:rsidRPr="009E4DA2">
        <w:rPr>
          <w:sz w:val="10"/>
        </w:rPr>
        <w:t xml:space="preserve"> </w:t>
      </w:r>
      <w:r w:rsidRPr="003C4685">
        <w:rPr>
          <w:rStyle w:val="StyleUnderline"/>
        </w:rPr>
        <w:t>Second</w:t>
      </w:r>
      <w:r w:rsidRPr="00E20EF3">
        <w:rPr>
          <w:rStyle w:val="StyleUnderline"/>
        </w:rPr>
        <w:t xml:space="preserve">, </w:t>
      </w:r>
      <w:r w:rsidRPr="003C4685">
        <w:rPr>
          <w:rStyle w:val="StyleUnderline"/>
          <w:highlight w:val="yellow"/>
        </w:rPr>
        <w:t>by allowing the patenting of future generations of plants and animals, the self-reproducing capacity of living organisms is denied</w:t>
      </w:r>
      <w:r w:rsidRPr="00E20EF3">
        <w:rPr>
          <w:rStyle w:val="StyleUnderline"/>
        </w:rPr>
        <w:t>.</w:t>
      </w:r>
      <w:r w:rsidRPr="009E4DA2">
        <w:rPr>
          <w:sz w:val="10"/>
        </w:rPr>
        <w:t xml:space="preserve"> </w:t>
      </w:r>
      <w:r w:rsidRPr="00E20EF3">
        <w:rPr>
          <w:rStyle w:val="StyleUnderline"/>
        </w:rPr>
        <w:t xml:space="preserve">Living organisms, unlike machines, organize themselves. Because of this capacity, </w:t>
      </w:r>
      <w:r w:rsidRPr="003C4685">
        <w:rPr>
          <w:rStyle w:val="StyleUnderline"/>
          <w:highlight w:val="yellow"/>
        </w:rPr>
        <w:t>they cannot be treated as</w:t>
      </w:r>
      <w:r w:rsidRPr="00E20EF3">
        <w:rPr>
          <w:rStyle w:val="StyleUnderline"/>
        </w:rPr>
        <w:t xml:space="preserve"> simply "biotechnological inventions," "gene constructs," or </w:t>
      </w:r>
      <w:r w:rsidRPr="003C4685">
        <w:rPr>
          <w:rStyle w:val="StyleUnderline"/>
          <w:highlight w:val="yellow"/>
        </w:rPr>
        <w:t>"products of the mind</w:t>
      </w:r>
      <w:r w:rsidRPr="00E20EF3">
        <w:rPr>
          <w:rStyle w:val="StyleUnderline"/>
        </w:rPr>
        <w:t>"</w:t>
      </w:r>
      <w:r w:rsidRPr="009E4DA2">
        <w:rPr>
          <w:sz w:val="10"/>
        </w:rPr>
        <w:t xml:space="preserve"> that need to be protected as "intellectual property." The engineering paradigm of biotechnology is based on the assumption that life can be made. Patents on life are based on the assumption that life can be owned because it can been constructed. Genetic engineering and </w:t>
      </w:r>
      <w:r w:rsidRPr="00E20EF3">
        <w:rPr>
          <w:rStyle w:val="StyleUnderline"/>
        </w:rPr>
        <w:t>patents on life are the ultimate expression of the commercialization of science and the commodification of nature</w:t>
      </w:r>
      <w:r w:rsidRPr="009E4DA2">
        <w:rPr>
          <w:sz w:val="10"/>
        </w:rPr>
        <w:t xml:space="preserve"> that began the scientific and industrial revolutions. As Carolyn Merchant has analyzed in The Death of Nature, the rise </w:t>
      </w:r>
      <w:r w:rsidRPr="009E4DA2">
        <w:rPr>
          <w:sz w:val="10"/>
          <w:highlight w:val="yellow"/>
        </w:rPr>
        <w:t xml:space="preserve">of </w:t>
      </w:r>
      <w:r w:rsidRPr="003C4685">
        <w:rPr>
          <w:rStyle w:val="StyleUnderline"/>
          <w:highlight w:val="yellow"/>
        </w:rPr>
        <w:t>reductionist science allowed nature to be declared dead, inert, and valueless</w:t>
      </w:r>
      <w:r w:rsidRPr="009E4DA2">
        <w:rPr>
          <w:sz w:val="10"/>
        </w:rPr>
        <w:t xml:space="preserve">. Hence, it allowed for the exploitation and domination of nature, in total dis- regard of the social and ecological consequences.' The rise of reductionism science was linked with the commercialization of science, and resulted in the domination of women and non-Western peoples. Their diverse knowledge systems were not treated as legitimate ways of knowing, with commercialization as the objective, reductionism became the criterion of scientific validity. Nonreductionist and ecological ways of knowing, and nonreductionist and ecological systems of knowledge, were pushed out and marginalized. The genetic engineering paradigm is now pushing out the last remains of ecological paradigms by redefining living organisms and biodiversity as "man-made" phenomena. The rise of the reductionist paradigm of biology to serve the commercial interests of the genetic engineering, biotechnology industry was itself engineered. This was done through funding as well as rewards and recognition. Reductionism in biology is multifaceted. At the species level, this </w:t>
      </w:r>
      <w:r w:rsidRPr="003C4685">
        <w:rPr>
          <w:rStyle w:val="StyleUnderline"/>
          <w:highlight w:val="yellow"/>
        </w:rPr>
        <w:t>reductionism puts value on only one species humans-and generates an instrumental value for all others</w:t>
      </w:r>
      <w:r w:rsidRPr="00E20EF3">
        <w:rPr>
          <w:rStyle w:val="StyleUnderline"/>
        </w:rPr>
        <w:t>. It therefore displaces and pushes to extinction all species that have no or low instrumental value to humans.</w:t>
      </w:r>
      <w:r w:rsidRPr="009E4DA2">
        <w:rPr>
          <w:sz w:val="10"/>
        </w:rPr>
        <w:t xml:space="preserve"> </w:t>
      </w:r>
      <w:r w:rsidRPr="003C4685">
        <w:rPr>
          <w:rStyle w:val="StyleUnderline"/>
          <w:highlight w:val="yellow"/>
        </w:rPr>
        <w:t>Monocultures of species and biodiversity erosion are the inevitable consequences of reductionist thought</w:t>
      </w:r>
      <w:r w:rsidRPr="009E4DA2">
        <w:rPr>
          <w:sz w:val="10"/>
        </w:rPr>
        <w:t xml:space="preserve"> in biology, especially when applied to forestry, agriculture, and fisheries. We call this first- order reductionism. Reductionist biology is increasingly characterized by a second- order reductionism-genetic reductionism-the reduction of all behavior of biological organisms, including humans, to genes. Second-order reductionism amplifies the ecological risks offirst-order reductionism, while introducing new issues, like the patenting of life-forms. </w:t>
      </w:r>
      <w:r w:rsidRPr="00E20EF3">
        <w:rPr>
          <w:rStyle w:val="StyleUnderline"/>
        </w:rPr>
        <w:t>Reductionist biology is also an expression of cultural reductionism, since it devalues many forms of knowledge and ethical systems.</w:t>
      </w:r>
      <w:r w:rsidRPr="009E4DA2">
        <w:rPr>
          <w:sz w:val="10"/>
        </w:rPr>
        <w:t xml:space="preserve"> </w:t>
      </w:r>
      <w:r w:rsidRPr="00E20EF3">
        <w:rPr>
          <w:rStyle w:val="StyleUnderline"/>
        </w:rPr>
        <w:t>This includes all non-Western systems of agriculture and medicine as well as all disciplines in Western biology that do not lend themselves to genetic and molecular reductionism, but are necessary for dealing sustainably with the living world</w:t>
      </w:r>
      <w:r w:rsidRPr="009E4DA2">
        <w:rPr>
          <w:sz w:val="10"/>
        </w:rPr>
        <w:t xml:space="preserve">. Reductionism was promoted strongly by August Weisinann, who nearly a century ago postulated the complete separation of the reproductive cells-the germ line-from the functional body, or soma. According to Weismann, reproductive cells are already set apart in the early embryo and continue their segregated existence into maturity, when they contribute to the formation of the next generation. This sup- ported the idea that acquired traits with no direct feedback from the environment were noninheritable. The mostly nonexistent "Weismann barrier" is still the paradigm used to discuss biodiversity conservation as "germ plasm" conservation. The germ plasm, Weismann had earlier contended, was divorced from the outside world. Evolutionary changes toward greater fitness-meaning greater capacity to reproduce-were the result of fortuitous mistakes that happened to prosper in the com- petition of life." Weismann's classic experiment a century ago was taken as proof of the noninheritability of acquired characteristics. He cut the tails off twenty-two generations of mice and found that the next generation was still born with normal tails. The sacrifice of hundreds of mouse tails only proved that this type of mutilation was not inherited." The proposition that information only goes from genes to the body was reinforced by molecular biology and the discovery in the l950s of the role of nucleic acid, placing Mendelian genetics on a solid material basis. Molecular biology showed a means of transferal of information from genes to proteins, but gave no indication-until recently-of any transfer in the opposite direction. The inference that there could be none became what Francis Crick called the central dogma of molecular biology: "Once 'information' has passed into proteins, it cannot get out again." Isolating the gene as a "master molecule" is part of biological determinism. The "central dogma" that genes as DNA make proteins is another aspect of this determinism. This dogma is preserved even though it is known that genes "make" nothing. As Richard Lewontin states in 71w Doctrine of DNA: DNA is a dead molecule, among the most non-reactive, chemically inert molecules in the world. It has no power to reproduce itself. Rather, it is produced out of elementary materials by a complex cellular machinery of proteins. While it is often said that DNA produces proteins, in fact proteins (enzymes) produce DNA. When we refer to genes as self-replicating, we endow them with a mysterious autonomous power that seems to place them above the more ordinary materials of the body. Yet if anything in the world can be said to be self-replicating, it is not the gene, but the entire organism as a complex system." Genetic engineering is taking us into a second-order reduction- ism not only because organisms are perceived in isolation of their environment, but because genes are perceived in isolation of the organism as a whole. The doctrine of molecular biology is modeled on classical mechanics. The central dogma is the ultimate in reductionist thought. At the very same time that Max Planck, Niels Bohr, Albert Ein- stein, Erwin Schrodinger, and their brilliant colleagues were revising the Newtonian view of the physical universe, biology was becoming more reductionist." Reductionism in biology was not an accident but a carefully planned paradigm. As Lily E. Kay records in The Molecular Vision of Life, the Rockefeller Foundation served as a principal patron of molecular biology from the 19305 to the |950s. The term molecular biology was coined in 1938 by Warren Weaver, the director of the Rockefeller Foundation's Natural Science Division. The term was intended to capture the essence of the foundation's program-its emphasis on the ultimate minuteness of biological entities. The cognitive and structural reconfigurations of biology into a reductionist paradigm were greatly facilitated through the economically powerful Rockefeller Foundation. During the years 1932-1959, the foundation poured about $25 million into </w:t>
      </w:r>
      <w:r w:rsidRPr="009E4DA2">
        <w:rPr>
          <w:sz w:val="10"/>
        </w:rPr>
        <w:lastRenderedPageBreak/>
        <w:t xml:space="preserve">molecular biology programs in the United States, more than one- fourth of the foundation's total spending for the biological sciences out- side of medicine (including, from the early 1940s on, enormous sums for agriculture)!-' The force of the foundation's funding set the trends in molecular biology. During the dozen years following 1953 (the elucidation of the structure of DNA). Nobel Prizes were awarded to scholars for research into the molecular biology of the gene, and all but one had been either fully or partially sponsored by the Rockefeller Foundation under Weaver's guidance." The motivation behind the enormous investment in the new agenda was to develop the human sciences as a comprehensive explanatory and applied framework of social control grounded in the natural, medical, and social sciences. (Zonceived during the late 1920s, the new agenda was articulated in terms of the contemporary technocratic discourse of human engineering, aiming toward restructuring human relations in congruence with the social framework of industrial capitalism. Within that agenda, the new biology (originally named "psycl1obiology") was erected on 'the bedrock of the physical sciences in order to rigorously explain and eventually control the fundamental mechanisms governing human behavior, placing a particularly strong emphasis on heredity. Hierarchy and inequality were thus "naturalized." As Lewontin states in TI-it-2 Doctrine of DNA: "The naturalistic explanation is to say that not only do we differ in our innate capacities but that these innate capacities are themselves transmitted from generation to generation biologically. That is to say they are in our genes. The original social and economic notion of inheritance has been turned into biological inheritance.""' The conjunction of cognitive and social goals in reductionist biology had a strong historical connection to eugenics. As of 1930, the Rockefeller Foundation had supported a number of eugenically directed projects. By the time the "new science of man" was inaugurated, how- ever, the goal of social control through selective breeding was no longer socially legitimate. Precisely because the old eugenics had lost its scientific validity, a space was created for a new program that promised to place the study of human heredity and behavior on vigorous grounds. A concerted physicochemical attack on the gene was initiated at the moment in his- tory when it became unacceptable to advocate social control based on crude eugenic principles and outmoded racial theories. The molecular biology program, through the study of simple biological systems and the analyses of protein structure, promised a surer, albeit much slower, way toward social planning based on sounder principles of eugenic selection."' Reductionism was chosen as the preferred paradigm for economic and political control of diversity in nature and society. Genetic determinism and genetic reductionism go hand in hand. But to say that genes are primary is more ideology than science. Genes are not independent entities but dependent parts of an entirety that gives them effect. All parts of the cell interact, and the combinations of genes are at least as important as their individual effects in the making of an organism. More broadly, an organism cannot be treated simply as the product of a number of proteins, each produced by the corresponding gene. Genes have multiple effects, and most traits depend on multiple genes. Yet the linear and reductionist causality of genetic determinism is held on to, even though the very processes that make genetic engineering possible run counter to the concepts of "master molecules" and the "central dogma." As Roger Lewin has stressed: "Restriction sites, promoters, operators, operons, and enhancers play their part. Not only does DNA make RNA, but RNA, aided by an enzyme suitably called reverse transcriptase, makes DNA."" The weakness of the explanatory and theoretical power of reductionism is made up for by its ideological power as well as its economic and political backing. Some biologists have gone far in exalting the gene over the organism and demoting the organism itself to a mere machine. The sole purpose of this machine is its own survival and reproduction or, perhaps more accurately put, the survival and reproduction of the DNA that is said both to program and to "dictate" its operation, in Richard Dawkins's terms, an organism is a "survival machine"-a "lumbering robot" constructed to house its genes, those "engines of self-preservation" that have as their primary property inherent "selfishness." They are sealed off from the outside world, communicating with it by tortuously indirect routes, manipulating it by remote control. They are in you and in me; they created us, body and mind. And their preservation is the ultimate rationale for our existence." This reductionism has epistemological, ethical, ecological, and socioeconomic implications. </w:t>
      </w:r>
      <w:r w:rsidRPr="00E20EF3">
        <w:rPr>
          <w:rStyle w:val="StyleUnderline"/>
        </w:rPr>
        <w:t xml:space="preserve">Epistemologically, it leads to a machine view of the world and its rich diversity of life-forms. It makes us forget that living organisms organize themselves. </w:t>
      </w:r>
      <w:r w:rsidRPr="003C4685">
        <w:rPr>
          <w:rStyle w:val="StyleUnderline"/>
          <w:highlight w:val="yellow"/>
        </w:rPr>
        <w:t>It robs us of our capacity for</w:t>
      </w:r>
      <w:r w:rsidRPr="00E20EF3">
        <w:rPr>
          <w:rStyle w:val="StyleUnderline"/>
        </w:rPr>
        <w:t xml:space="preserve"> the reverence for life-and without that capacity, </w:t>
      </w:r>
      <w:r w:rsidRPr="003C4685">
        <w:rPr>
          <w:rStyle w:val="StyleUnderline"/>
          <w:highlight w:val="yellow"/>
        </w:rPr>
        <w:t xml:space="preserve">protection of the diverse species on this planet </w:t>
      </w:r>
      <w:r w:rsidRPr="003C4685">
        <w:rPr>
          <w:rStyle w:val="StyleUnderline"/>
        </w:rPr>
        <w:t>is impossible.</w:t>
      </w:r>
      <w:r w:rsidRPr="00763A87">
        <w:rPr>
          <w:rStyle w:val="StyleUnderline"/>
        </w:rPr>
        <w:t xml:space="preserve"> </w:t>
      </w:r>
    </w:p>
    <w:p w14:paraId="324A0DD5" w14:textId="77777777" w:rsidR="00D31E39" w:rsidRPr="00BE350A" w:rsidRDefault="00D31E39" w:rsidP="00D31E39">
      <w:pPr>
        <w:pStyle w:val="Heading4"/>
      </w:pPr>
      <w:r>
        <w:t>-[3] M</w:t>
      </w:r>
      <w:r w:rsidRPr="00BE350A">
        <w:t>onocultures lead to extinction</w:t>
      </w:r>
    </w:p>
    <w:p w14:paraId="5E01633E" w14:textId="77777777" w:rsidR="00D31E39" w:rsidRPr="003C4AE9" w:rsidRDefault="00D31E39" w:rsidP="00D31E39">
      <w:r w:rsidRPr="00E34EB3">
        <w:rPr>
          <w:rStyle w:val="Style13ptBold"/>
        </w:rPr>
        <w:t>Feliciano 11 - Meghan Marrinan Feliciano, University of St. Thomas Law Journal, 2011</w:t>
      </w:r>
      <w:r>
        <w:t>“We Are What We Eat: Securing our Food Supply By Amending Intellectual Property Rights for Plant Genetic Resources” [https://ir.stthomas.edu/cgi/viewcontent.cgi?referer=&amp;httpsredir=1&amp;article=1265&amp;amp;context=ustlj] Accessed 9/14/21 SAO</w:t>
      </w:r>
    </w:p>
    <w:p w14:paraId="76492A92" w14:textId="77777777" w:rsidR="00D31E39" w:rsidRDefault="00D31E39" w:rsidP="00D31E39">
      <w:pPr>
        <w:rPr>
          <w:u w:val="single"/>
        </w:rPr>
      </w:pPr>
      <w:r w:rsidRPr="00E34EB3">
        <w:rPr>
          <w:sz w:val="14"/>
        </w:rPr>
        <w:t>While many may ponder the consequences of global warming, perhaps</w:t>
      </w:r>
      <w:r w:rsidRPr="003C4AE9">
        <w:rPr>
          <w:b/>
          <w:u w:val="single"/>
        </w:rPr>
        <w:t xml:space="preserve"> </w:t>
      </w:r>
      <w:r w:rsidRPr="00E34EB3">
        <w:rPr>
          <w:rStyle w:val="StyleUnderline"/>
          <w:highlight w:val="yellow"/>
        </w:rPr>
        <w:t>the biggest single environmental catastrophe in human history is</w:t>
      </w:r>
      <w:r w:rsidRPr="00E34EB3">
        <w:rPr>
          <w:b/>
          <w:sz w:val="14"/>
          <w:highlight w:val="yellow"/>
        </w:rPr>
        <w:t xml:space="preserve"> </w:t>
      </w:r>
      <w:r w:rsidRPr="00E34EB3">
        <w:rPr>
          <w:sz w:val="14"/>
        </w:rPr>
        <w:t>unfolding in the garden. While all are rightly concerned about the possibility of nuclear war, an equally devastating time bomb is ticking away in the fields of farmers all over the world</w:t>
      </w:r>
      <w:r w:rsidRPr="00E34EB3">
        <w:rPr>
          <w:sz w:val="14"/>
          <w:highlight w:val="yellow"/>
        </w:rPr>
        <w:t>.</w:t>
      </w:r>
      <w:r w:rsidRPr="00E34EB3">
        <w:rPr>
          <w:rStyle w:val="StyleUnderline"/>
          <w:highlight w:val="yellow"/>
        </w:rPr>
        <w:t xml:space="preserve"> Loss of genetic diversity in agriculture </w:t>
      </w:r>
      <w:r w:rsidRPr="00E34EB3">
        <w:rPr>
          <w:sz w:val="14"/>
        </w:rPr>
        <w:t>– silent, rapid, inexorable –</w:t>
      </w:r>
      <w:r w:rsidRPr="003C4AE9">
        <w:rPr>
          <w:rStyle w:val="StyleUnderline"/>
        </w:rPr>
        <w:t xml:space="preserve"> </w:t>
      </w:r>
      <w:r w:rsidRPr="00E34EB3">
        <w:rPr>
          <w:rStyle w:val="StyleUnderline"/>
          <w:highlight w:val="yellow"/>
        </w:rPr>
        <w:t xml:space="preserve">is leading us to </w:t>
      </w:r>
      <w:r w:rsidRPr="00E34EB3">
        <w:rPr>
          <w:sz w:val="14"/>
        </w:rPr>
        <w:t>a rendezvous with</w:t>
      </w:r>
      <w:r w:rsidRPr="00732FF1">
        <w:rPr>
          <w:rStyle w:val="StyleUnderline"/>
          <w:highlight w:val="yellow"/>
        </w:rPr>
        <w:t xml:space="preserve"> </w:t>
      </w:r>
      <w:r w:rsidRPr="00E34EB3">
        <w:rPr>
          <w:rStyle w:val="StyleUnderline"/>
          <w:highlight w:val="yellow"/>
        </w:rPr>
        <w:t xml:space="preserve">extinction </w:t>
      </w:r>
      <w:r w:rsidRPr="003C4AE9">
        <w:rPr>
          <w:rStyle w:val="StyleUnderline"/>
        </w:rPr>
        <w:t xml:space="preserve">– to the doorstep of hunger on a scale we refuse to imagine. . </w:t>
      </w:r>
      <w:r w:rsidRPr="00E34EB3">
        <w:rPr>
          <w:sz w:val="14"/>
        </w:rPr>
        <w:t>. . Reducing the diversity of life</w:t>
      </w:r>
      <w:r w:rsidRPr="00E34EB3">
        <w:rPr>
          <w:rStyle w:val="StyleUnderline"/>
          <w:highlight w:val="yellow"/>
        </w:rPr>
        <w:t>, we narrow our options for the future and render our own survival more precarious</w:t>
      </w:r>
      <w:r w:rsidRPr="00E34EB3">
        <w:rPr>
          <w:b/>
          <w:sz w:val="14"/>
          <w:highlight w:val="yellow"/>
        </w:rPr>
        <w:t>.</w:t>
      </w:r>
      <w:r w:rsidRPr="00E34EB3">
        <w:rPr>
          <w:sz w:val="14"/>
        </w:rPr>
        <w:t>1Around the world, an amazing array of plants have been cultivated and developed over many thousands of years, adapting to diverse climates and evolving to withstand various diseases and pests</w:t>
      </w:r>
      <w:r w:rsidRPr="00E34EB3">
        <w:rPr>
          <w:b/>
          <w:sz w:val="14"/>
          <w:highlight w:val="yellow"/>
        </w:rPr>
        <w:t xml:space="preserve">. </w:t>
      </w:r>
      <w:r w:rsidRPr="00E34EB3">
        <w:rPr>
          <w:highlight w:val="yellow"/>
          <w:u w:val="single"/>
        </w:rPr>
        <w:t xml:space="preserve">The genetic resources </w:t>
      </w:r>
      <w:r w:rsidRPr="00E34EB3">
        <w:rPr>
          <w:sz w:val="14"/>
        </w:rPr>
        <w:t>found in the germplasm of these plants</w:t>
      </w:r>
      <w:r w:rsidRPr="00E34EB3">
        <w:rPr>
          <w:rStyle w:val="StyleUnderline"/>
        </w:rPr>
        <w:t xml:space="preserve"> </w:t>
      </w:r>
      <w:r w:rsidRPr="00E34EB3">
        <w:rPr>
          <w:rStyle w:val="StyleUnderline"/>
          <w:highlight w:val="yellow"/>
        </w:rPr>
        <w:t>are invaluable, as these diverse traits offer the means for plants to survive and thrive under a multitude of conditions.</w:t>
      </w:r>
      <w:r w:rsidRPr="00E34EB3">
        <w:rPr>
          <w:u w:val="single"/>
        </w:rPr>
        <w:t xml:space="preserve"> </w:t>
      </w:r>
      <w:r w:rsidRPr="00BE350A">
        <w:rPr>
          <w:u w:val="single"/>
        </w:rPr>
        <w:t>Today, crop genetic diversity is at great risk, and its diminishing existence threatens the sustainability of the world’s food supply.</w:t>
      </w:r>
      <w:r w:rsidRPr="00E34EB3">
        <w:rPr>
          <w:sz w:val="14"/>
        </w:rPr>
        <w:t xml:space="preserve"> The danger is real: between </w:t>
      </w:r>
      <w:r w:rsidRPr="00BE350A">
        <w:rPr>
          <w:u w:val="single"/>
        </w:rPr>
        <w:t>1903 and 1983, more than 95% of U.S. tomato varieties were lost. If we want tomatoes, as well as other crops, to remain on the table, we must act to preserve the diverse genetic resources found in agriculture around the globe.</w:t>
      </w:r>
    </w:p>
    <w:p w14:paraId="6FF31634" w14:textId="77777777" w:rsidR="00D31E39" w:rsidRDefault="00D31E39" w:rsidP="00D31E39">
      <w:pPr>
        <w:pStyle w:val="Heading4"/>
      </w:pPr>
      <w:r>
        <w:t xml:space="preserve">[4] Prior Informed Consent initiatives are failing now </w:t>
      </w:r>
    </w:p>
    <w:p w14:paraId="5BA7A9C6" w14:textId="77777777" w:rsidR="00D31E39" w:rsidRPr="008501A9" w:rsidRDefault="00D31E39" w:rsidP="00D31E39">
      <w:r w:rsidRPr="008501A9">
        <w:rPr>
          <w:rStyle w:val="Style13ptBold"/>
        </w:rPr>
        <w:t>McCulloch 21 - Emily. M McCulloch, Public Land and Resources Law Review, Volume 44 Article 5, June 2021</w:t>
      </w:r>
      <w:r w:rsidRPr="008501A9">
        <w:t xml:space="preserve"> “Free, Prior, and Informed Consent: A Struggling International Principle” [https://scholarship.law.umt.edu/cgi/viewcontent.cgi?article=1744&amp;context=plrlr] Accessed 08/18/21 AHS PG</w:t>
      </w:r>
    </w:p>
    <w:p w14:paraId="4A28E586" w14:textId="77777777" w:rsidR="00D31E39" w:rsidRPr="002615DC" w:rsidRDefault="00D31E39" w:rsidP="00D31E39">
      <w:pPr>
        <w:spacing w:after="0" w:line="240" w:lineRule="auto"/>
        <w:rPr>
          <w:rFonts w:ascii="Times New Roman" w:eastAsia="Times New Roman" w:hAnsi="Times New Roman" w:cs="Times New Roman"/>
          <w:sz w:val="12"/>
        </w:rPr>
      </w:pPr>
      <w:r w:rsidRPr="00BA274B">
        <w:rPr>
          <w:rStyle w:val="StyleUnderline"/>
          <w:highlight w:val="yellow"/>
        </w:rPr>
        <w:t>Despite the FPIC going into effect over ten years ago</w:t>
      </w:r>
      <w:r w:rsidRPr="00EB13F9">
        <w:rPr>
          <w:rStyle w:val="StyleUnderline"/>
        </w:rPr>
        <w:t xml:space="preserve">, companies and </w:t>
      </w:r>
      <w:r w:rsidRPr="008F7D9C">
        <w:rPr>
          <w:rStyle w:val="StyleUnderline"/>
          <w:b/>
          <w:highlight w:val="yellow"/>
        </w:rPr>
        <w:t>nations still commit atrocities against indigenous populations</w:t>
      </w:r>
      <w:r w:rsidRPr="00EB13F9">
        <w:rPr>
          <w:rFonts w:ascii="Times New Roman" w:eastAsia="Times New Roman" w:hAnsi="Times New Roman" w:cs="Times New Roman"/>
          <w:sz w:val="12"/>
        </w:rPr>
        <w:t xml:space="preserve">.59 </w:t>
      </w:r>
      <w:r w:rsidRPr="008F7D9C">
        <w:rPr>
          <w:rStyle w:val="StyleUnderline"/>
          <w:b/>
          <w:highlight w:val="yellow"/>
        </w:rPr>
        <w:t>In 2018, there were 164 documented killings</w:t>
      </w:r>
      <w:r w:rsidRPr="00BA274B">
        <w:rPr>
          <w:rStyle w:val="StyleUnderline"/>
          <w:highlight w:val="yellow"/>
        </w:rPr>
        <w:t xml:space="preserve"> of individuals trying to protect their land</w:t>
      </w:r>
      <w:r w:rsidRPr="00EB13F9">
        <w:rPr>
          <w:rFonts w:ascii="Times New Roman" w:eastAsia="Times New Roman" w:hAnsi="Times New Roman" w:cs="Times New Roman"/>
          <w:sz w:val="12"/>
        </w:rPr>
        <w:t xml:space="preserve">.60 Latin America has the highest rate of violence against activists, with little government protection, as well as suffering from international companies extracting resources on indigenous land.61 This data leads to some key concerns about the FPIC among the international community, including implementation and lack of enforcement. A. Lack of Clarity in </w:t>
      </w:r>
      <w:r w:rsidRPr="008F7D9C">
        <w:rPr>
          <w:rFonts w:ascii="Times New Roman" w:eastAsia="Times New Roman" w:hAnsi="Times New Roman" w:cs="Times New Roman"/>
          <w:sz w:val="12"/>
        </w:rPr>
        <w:t xml:space="preserve">Implementation </w:t>
      </w:r>
      <w:r w:rsidRPr="008F7D9C">
        <w:rPr>
          <w:rStyle w:val="StyleUnderline"/>
        </w:rPr>
        <w:t>Fundamental issues remain with implementing the FPIC including isolation, internal participation, and overlap</w:t>
      </w:r>
      <w:r w:rsidRPr="008F7D9C">
        <w:rPr>
          <w:rFonts w:ascii="Times New Roman" w:eastAsia="Times New Roman" w:hAnsi="Times New Roman" w:cs="Times New Roman"/>
          <w:sz w:val="12"/>
        </w:rPr>
        <w:t xml:space="preserve">.62 Isolation is detrimental to the FPIC’s goals because </w:t>
      </w:r>
      <w:r w:rsidRPr="008F7D9C">
        <w:rPr>
          <w:rStyle w:val="StyleUnderline"/>
        </w:rPr>
        <w:t xml:space="preserve">some indigenous populations desire to live </w:t>
      </w:r>
      <w:r w:rsidRPr="008F7D9C">
        <w:rPr>
          <w:rStyle w:val="StyleUnderline"/>
        </w:rPr>
        <w:lastRenderedPageBreak/>
        <w:t>secluded</w:t>
      </w:r>
      <w:r w:rsidRPr="008F7D9C">
        <w:rPr>
          <w:rFonts w:ascii="Times New Roman" w:eastAsia="Times New Roman" w:hAnsi="Times New Roman" w:cs="Times New Roman"/>
          <w:sz w:val="12"/>
        </w:rPr>
        <w:t>.6</w:t>
      </w:r>
      <w:r w:rsidRPr="00EB13F9">
        <w:rPr>
          <w:rFonts w:ascii="Times New Roman" w:eastAsia="Times New Roman" w:hAnsi="Times New Roman" w:cs="Times New Roman"/>
          <w:sz w:val="12"/>
        </w:rPr>
        <w:t xml:space="preserve">3 </w:t>
      </w:r>
      <w:r w:rsidRPr="00BA274B">
        <w:rPr>
          <w:rStyle w:val="StyleUnderline"/>
          <w:highlight w:val="yellow"/>
        </w:rPr>
        <w:t>Because of their isolation</w:t>
      </w:r>
      <w:r w:rsidRPr="00EB13F9">
        <w:rPr>
          <w:rStyle w:val="StyleUnderline"/>
        </w:rPr>
        <w:t xml:space="preserve">, public participation and </w:t>
      </w:r>
      <w:r w:rsidRPr="00BA274B">
        <w:rPr>
          <w:rStyle w:val="StyleUnderline"/>
          <w:highlight w:val="yellow"/>
        </w:rPr>
        <w:t>consultation are difficult</w:t>
      </w:r>
      <w:r w:rsidRPr="00EB13F9">
        <w:rPr>
          <w:rFonts w:ascii="Times New Roman" w:eastAsia="Times New Roman" w:hAnsi="Times New Roman" w:cs="Times New Roman"/>
          <w:sz w:val="12"/>
        </w:rPr>
        <w:t xml:space="preserve">.64 Scholars argue the “desire to be left alone” shows they do not give consent to projects because of their intention to secure their land from the outside communities.65 This reluctance and mistrust lend itself to difficulties when implementing the FPIC. </w:t>
      </w:r>
      <w:r w:rsidRPr="00BA274B">
        <w:rPr>
          <w:rStyle w:val="StyleUnderline"/>
          <w:highlight w:val="yellow"/>
        </w:rPr>
        <w:t>Another</w:t>
      </w:r>
      <w:r w:rsidRPr="00EB13F9">
        <w:rPr>
          <w:rFonts w:ascii="Times New Roman" w:eastAsia="Times New Roman" w:hAnsi="Times New Roman" w:cs="Times New Roman"/>
          <w:sz w:val="12"/>
        </w:rPr>
        <w:t xml:space="preserve"> issue with the FPIC implementation </w:t>
      </w:r>
      <w:r w:rsidRPr="00BA274B">
        <w:rPr>
          <w:rStyle w:val="StyleUnderline"/>
          <w:highlight w:val="yellow"/>
        </w:rPr>
        <w:t>is internal participation</w:t>
      </w:r>
      <w:r w:rsidRPr="00EB13F9">
        <w:rPr>
          <w:rFonts w:ascii="Times New Roman" w:eastAsia="Times New Roman" w:hAnsi="Times New Roman" w:cs="Times New Roman"/>
          <w:sz w:val="12"/>
        </w:rPr>
        <w:t xml:space="preserve">.66 </w:t>
      </w:r>
      <w:r w:rsidRPr="00BA274B">
        <w:rPr>
          <w:rStyle w:val="StyleUnderline"/>
          <w:highlight w:val="yellow"/>
        </w:rPr>
        <w:t>Some</w:t>
      </w:r>
      <w:r w:rsidRPr="00BA274B">
        <w:rPr>
          <w:rFonts w:ascii="Times New Roman" w:eastAsia="Times New Roman" w:hAnsi="Times New Roman" w:cs="Times New Roman"/>
          <w:sz w:val="12"/>
          <w:highlight w:val="yellow"/>
        </w:rPr>
        <w:t xml:space="preserve"> </w:t>
      </w:r>
      <w:r w:rsidRPr="008F7D9C">
        <w:rPr>
          <w:rStyle w:val="StyleUnderline"/>
          <w:b/>
          <w:highlight w:val="yellow"/>
        </w:rPr>
        <w:t>indigenous</w:t>
      </w:r>
      <w:r w:rsidRPr="008F7D9C">
        <w:rPr>
          <w:rFonts w:ascii="Times New Roman" w:eastAsia="Times New Roman" w:hAnsi="Times New Roman" w:cs="Times New Roman"/>
          <w:b/>
          <w:sz w:val="12"/>
          <w:highlight w:val="yellow"/>
        </w:rPr>
        <w:t xml:space="preserve"> </w:t>
      </w:r>
      <w:r w:rsidRPr="008F7D9C">
        <w:rPr>
          <w:rStyle w:val="StyleUnderline"/>
          <w:b/>
          <w:highlight w:val="yellow"/>
        </w:rPr>
        <w:t>groups</w:t>
      </w:r>
      <w:r w:rsidRPr="008F7D9C">
        <w:rPr>
          <w:rFonts w:ascii="Times New Roman" w:eastAsia="Times New Roman" w:hAnsi="Times New Roman" w:cs="Times New Roman"/>
          <w:b/>
          <w:sz w:val="12"/>
        </w:rPr>
        <w:t xml:space="preserve"> </w:t>
      </w:r>
      <w:r w:rsidRPr="00EB13F9">
        <w:rPr>
          <w:rStyle w:val="StyleUnderline"/>
        </w:rPr>
        <w:t xml:space="preserve">contain marginalized populations like women and children, but </w:t>
      </w:r>
      <w:r w:rsidRPr="008F7D9C">
        <w:rPr>
          <w:rStyle w:val="StyleUnderline"/>
          <w:b/>
          <w:highlight w:val="yellow"/>
        </w:rPr>
        <w:t>do not allow all community members to participate</w:t>
      </w:r>
      <w:r w:rsidRPr="00EB13F9">
        <w:rPr>
          <w:rFonts w:ascii="Times New Roman" w:eastAsia="Times New Roman" w:hAnsi="Times New Roman" w:cs="Times New Roman"/>
          <w:sz w:val="12"/>
        </w:rPr>
        <w:t>—a concept the FPIC requires.67 For example, in some indigenous groups, women and children are not consulted on issues that affect the internal community.68 Because overall participation by</w:t>
      </w:r>
      <w:r w:rsidRPr="002615DC">
        <w:rPr>
          <w:rFonts w:ascii="Times New Roman" w:eastAsia="Times New Roman" w:hAnsi="Times New Roman" w:cs="Times New Roman"/>
          <w:sz w:val="12"/>
        </w:rPr>
        <w:t xml:space="preserve"> affected indigenous groups is a key part of the FPIC implementation, participation from “illiberal” communities is challenging.69 </w:t>
      </w:r>
      <w:r w:rsidRPr="00A40566">
        <w:rPr>
          <w:rStyle w:val="StyleUnderline"/>
        </w:rPr>
        <w:t>A third major issue</w:t>
      </w:r>
      <w:r w:rsidRPr="002615DC">
        <w:rPr>
          <w:rFonts w:ascii="Times New Roman" w:eastAsia="Times New Roman" w:hAnsi="Times New Roman" w:cs="Times New Roman"/>
          <w:sz w:val="12"/>
        </w:rPr>
        <w:t xml:space="preserve"> with </w:t>
      </w:r>
      <w:r w:rsidRPr="00A40566">
        <w:rPr>
          <w:rStyle w:val="StyleUnderline"/>
        </w:rPr>
        <w:t>implementation is overlap between other indigenous communities</w:t>
      </w:r>
      <w:r w:rsidRPr="002615DC">
        <w:rPr>
          <w:rFonts w:ascii="Times New Roman" w:eastAsia="Times New Roman" w:hAnsi="Times New Roman" w:cs="Times New Roman"/>
          <w:sz w:val="12"/>
        </w:rPr>
        <w:t xml:space="preserve"> or entities.70 </w:t>
      </w:r>
      <w:r w:rsidRPr="00A40566">
        <w:rPr>
          <w:rStyle w:val="StyleUnderline"/>
        </w:rPr>
        <w:t>A “dichotomized” view of indigenous groups leads to “arbitrarily fixating indigenous peoples’ consensus</w:t>
      </w:r>
      <w:r w:rsidRPr="002615DC">
        <w:rPr>
          <w:rFonts w:ascii="Times New Roman" w:eastAsia="Times New Roman" w:hAnsi="Times New Roman" w:cs="Times New Roman"/>
          <w:sz w:val="12"/>
        </w:rPr>
        <w:t xml:space="preserve">, while disregarding the multiple and fragmented nature of the member subject positions.”71 By recognizing the cultural overlaps and differing interests among groups, developers face challenges to achieve one common plan and gain all groups’ consent.72 </w:t>
      </w:r>
      <w:r w:rsidRPr="00A40566">
        <w:rPr>
          <w:rStyle w:val="StyleUnderline"/>
        </w:rPr>
        <w:t>Another</w:t>
      </w:r>
      <w:r w:rsidRPr="002615DC">
        <w:rPr>
          <w:rFonts w:ascii="Times New Roman" w:eastAsia="Times New Roman" w:hAnsi="Times New Roman" w:cs="Times New Roman"/>
          <w:sz w:val="12"/>
        </w:rPr>
        <w:t xml:space="preserve"> key issue </w:t>
      </w:r>
      <w:r w:rsidRPr="002615DC">
        <w:rPr>
          <w:rStyle w:val="StyleUnderline"/>
        </w:rPr>
        <w:t>involves private actors like the World Bank and extractive resource industries’ interpretation of the FPIC.</w:t>
      </w:r>
      <w:r w:rsidRPr="002615DC">
        <w:rPr>
          <w:rFonts w:ascii="Times New Roman" w:eastAsia="Times New Roman" w:hAnsi="Times New Roman" w:cs="Times New Roman"/>
          <w:sz w:val="12"/>
        </w:rPr>
        <w:t xml:space="preserve">73 Because UNDRIP applies to governments and not private companies, </w:t>
      </w:r>
      <w:r w:rsidRPr="002615DC">
        <w:rPr>
          <w:rStyle w:val="StyleUnderline"/>
        </w:rPr>
        <w:t>74 the World Bank has implemented less stringent guidelines</w:t>
      </w:r>
      <w:r w:rsidRPr="002615DC">
        <w:rPr>
          <w:rFonts w:ascii="Times New Roman" w:eastAsia="Times New Roman" w:hAnsi="Times New Roman" w:cs="Times New Roman"/>
          <w:sz w:val="12"/>
        </w:rPr>
        <w:t xml:space="preserve"> called Free, Prior, and Informed Consultation, except for in special circumstances where it advises use of the FPIC.75 As noted, the ICMM has an even lesser standard, which directs that development programs should engage and consult with indigenous peoples in a “fair, timely and culturally appropriate way throughout the project cycle.”76 </w:t>
      </w:r>
      <w:r w:rsidRPr="002615DC">
        <w:rPr>
          <w:rStyle w:val="StyleUnderline"/>
        </w:rPr>
        <w:t>This</w:t>
      </w:r>
      <w:r w:rsidRPr="002615DC">
        <w:rPr>
          <w:rFonts w:ascii="Times New Roman" w:eastAsia="Times New Roman" w:hAnsi="Times New Roman" w:cs="Times New Roman"/>
          <w:sz w:val="12"/>
        </w:rPr>
        <w:t xml:space="preserve"> standard </w:t>
      </w:r>
      <w:r w:rsidRPr="002615DC">
        <w:rPr>
          <w:rStyle w:val="StyleUnderline"/>
        </w:rPr>
        <w:t>could</w:t>
      </w:r>
      <w:r w:rsidRPr="002615DC">
        <w:rPr>
          <w:rFonts w:ascii="Times New Roman" w:eastAsia="Times New Roman" w:hAnsi="Times New Roman" w:cs="Times New Roman"/>
          <w:sz w:val="12"/>
        </w:rPr>
        <w:t xml:space="preserve"> “</w:t>
      </w:r>
      <w:r w:rsidRPr="002615DC">
        <w:rPr>
          <w:rStyle w:val="StyleUnderline"/>
        </w:rPr>
        <w:t>lead to breaches of international human rights standards, as companies might only do the minimum necessary to meet the requirements of local legislation</w:t>
      </w:r>
      <w:r w:rsidRPr="002615DC">
        <w:rPr>
          <w:rFonts w:ascii="Times New Roman" w:eastAsia="Times New Roman" w:hAnsi="Times New Roman" w:cs="Times New Roman"/>
          <w:sz w:val="12"/>
        </w:rPr>
        <w:t xml:space="preserve">, potentially failing to recognize the right to the FPIC, and thus infringing [on] the Indigenous right to self-determination.”77 While the ICMM is taking steps to follow the FPIC, ultimately, it can still decide to move forward with projects, even if there is opposition or a lack of consensus. 78 </w:t>
      </w:r>
      <w:r w:rsidRPr="00BA274B">
        <w:rPr>
          <w:rStyle w:val="StyleUnderline"/>
          <w:highlight w:val="yellow"/>
        </w:rPr>
        <w:t xml:space="preserve">Finally, </w:t>
      </w:r>
      <w:r w:rsidRPr="008F7D9C">
        <w:rPr>
          <w:rStyle w:val="StyleUnderline"/>
          <w:b/>
          <w:highlight w:val="yellow"/>
        </w:rPr>
        <w:t>it remains unclear if the “consent” part of the FPIC includes veto power</w:t>
      </w:r>
      <w:r w:rsidRPr="002615DC">
        <w:rPr>
          <w:rFonts w:ascii="Times New Roman" w:eastAsia="Times New Roman" w:hAnsi="Times New Roman" w:cs="Times New Roman"/>
          <w:sz w:val="12"/>
        </w:rPr>
        <w:t xml:space="preserve">.79 Without veto power, the FPIC loses strength because projects can continue to move forward. As of now, the international community recognizes tribal consultation as the customary norm.80 For instance, the United States has a “long-standing executive branch policy to incorporate special [tribal] status into regulatory processes,” but it does not include tribal veto power on projects.81 Similarly, Canada has a duty to consult with indigenous communities during the Environmental Impact Assessment phase which includes “good-faith consultation” and willingness to make changes based on information obtained during assessments.82 Canada’s policy, however, does not include tribal consultation as determinative of whether the project moves forward, even if indigenous communities are opposed. 83 Unfortunately, as shown in Canada’s and the United States’ policies, the question of whether nation states need to obtain consent from indigenous communities is usually answered in the negative because governments can weigh economic benefit to regulate resources for all citizens, not just its indigenous </w:t>
      </w:r>
      <w:r w:rsidRPr="008F7D9C">
        <w:rPr>
          <w:rFonts w:ascii="Times New Roman" w:eastAsia="Times New Roman" w:hAnsi="Times New Roman" w:cs="Times New Roman"/>
          <w:sz w:val="12"/>
        </w:rPr>
        <w:t xml:space="preserve">groups. </w:t>
      </w:r>
      <w:r w:rsidRPr="008F7D9C">
        <w:rPr>
          <w:rStyle w:val="StyleUnderline"/>
        </w:rPr>
        <w:t xml:space="preserve">Along with implementation issues, the </w:t>
      </w:r>
      <w:r w:rsidRPr="008F7D9C">
        <w:rPr>
          <w:rStyle w:val="StyleUnderline"/>
          <w:b/>
          <w:highlight w:val="yellow"/>
        </w:rPr>
        <w:t>FPIC faces a lack of enforcement in countries that have adopted it</w:t>
      </w:r>
      <w:r w:rsidRPr="002615DC">
        <w:rPr>
          <w:rFonts w:ascii="Times New Roman" w:eastAsia="Times New Roman" w:hAnsi="Times New Roman" w:cs="Times New Roman"/>
          <w:sz w:val="12"/>
        </w:rPr>
        <w:t xml:space="preserve">, which non-compliant countries would have to resolve if the FPIC was considered hard law. Some of the biggest breaches of the FPIC stem primarily from Latin American countries, 85 even though Latin American countries comprise the majority of countries that signed ILO 169.86 This issue is referred to as the “governance gap,” which means a nation state fails to protect populations because of lack of mechanisms to ensure compliance.87 Additionally, there is no legal entity or instrument to enforce compliance because UNDRIP is nonbinding unless it is carried out in domestic law.88 Further, a government’s right to develop and the FPIC often conflict, particularly in developing countries.89 State versus tribal sovereignty and ownership of national resources are often still debated.90 Because nation states argue these resources “are the benefit for all,” courts often side with nations on ownership issues.91 Issues over rights to develop and resource ownership are further conflated due to large inconsistencies between an international, national, and domestic regulation, known as the “implementation gap.”92 </w:t>
      </w:r>
      <w:r w:rsidRPr="00BA274B">
        <w:rPr>
          <w:rStyle w:val="StyleUnderline"/>
          <w:highlight w:val="yellow"/>
        </w:rPr>
        <w:t>The Philippines exemplifies the implementation gap in a conflict with Dole Asia</w:t>
      </w:r>
      <w:r w:rsidRPr="002615DC">
        <w:rPr>
          <w:rFonts w:ascii="Times New Roman" w:eastAsia="Times New Roman" w:hAnsi="Times New Roman" w:cs="Times New Roman"/>
          <w:sz w:val="12"/>
        </w:rPr>
        <w:t xml:space="preserve">, one of the largest producers of bananas, which is backed by companies like JP Morgan Chase.93 The Philippines is a signatory to UNDRIP, 94 and it also holds its own national policies surrounding indigenous rights such as the Indigenous Peoples’ Rights Act.95 Despite the international and national policies, the Philippines has inconsistently implemented indigenous protection policies. For example, in the Bukidon region, the indigenous KADIMADC community stated a wealthy landowner, who owns the largest gun-making factory in the country, was illegally sub-leasing indigenous land for a Dole plantation without their consent.96 Dole failed to take steps in reviewing this land lease to determine if the land was disputed and if the FPIC was granted.97 Because of Dole’s lack of due diligence, the community’s indigenous peoples turned to local government to investigate allegations.98 Reportedly, instead of investigating, government officials tried to bribe indigenous members to sign consent forms.99 The KADIMADC people remained on their land, but the wealthy landowner’s security personnel in the area have threatened the community with loss of homes and life. 100 The Philippines government is failing to implement the FPIC on a national and local level, and it has failed to implement the UNDRIP policies it agreed to at an international level. </w:t>
      </w:r>
    </w:p>
    <w:p w14:paraId="1DFA224B" w14:textId="77777777" w:rsidR="00D31E39" w:rsidRDefault="00D31E39" w:rsidP="00D31E39"/>
    <w:p w14:paraId="27201256" w14:textId="77777777" w:rsidR="002F0EEB" w:rsidRDefault="002F0EEB"/>
    <w:sectPr w:rsidR="002F0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39"/>
    <w:rsid w:val="002F0EEB"/>
    <w:rsid w:val="00D31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A89394"/>
  <w15:chartTrackingRefBased/>
  <w15:docId w15:val="{3924DB34-271B-2742-97D6-4AC8D7F4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E39"/>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D31E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1E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Char Char,n"/>
    <w:basedOn w:val="Normal"/>
    <w:next w:val="Normal"/>
    <w:link w:val="Heading3Char"/>
    <w:uiPriority w:val="9"/>
    <w:unhideWhenUsed/>
    <w:qFormat/>
    <w:rsid w:val="00D31E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D31E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1E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E39"/>
  </w:style>
  <w:style w:type="character" w:customStyle="1" w:styleId="Heading2Char">
    <w:name w:val="Heading 2 Char"/>
    <w:aliases w:val="Hat Char"/>
    <w:basedOn w:val="DefaultParagraphFont"/>
    <w:link w:val="Heading2"/>
    <w:uiPriority w:val="9"/>
    <w:rsid w:val="00D31E39"/>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1,Tags v 2 Char,3: Cite Char,Char1 Char,Underlines Char,Heading 3 Char3 Char,Tag Char Char Char,Bold Cite Char,Cite 1 Char"/>
    <w:basedOn w:val="DefaultParagraphFont"/>
    <w:link w:val="Heading3"/>
    <w:uiPriority w:val="9"/>
    <w:rsid w:val="00D31E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D31E3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20"/>
    <w:qFormat/>
    <w:rsid w:val="00D31E3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31E3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1"/>
    <w:qFormat/>
    <w:rsid w:val="00D31E39"/>
    <w:rPr>
      <w:b w:val="0"/>
      <w:sz w:val="22"/>
      <w:u w:val="single"/>
    </w:rPr>
  </w:style>
  <w:style w:type="paragraph" w:customStyle="1" w:styleId="textbold">
    <w:name w:val="text bold"/>
    <w:basedOn w:val="Normal"/>
    <w:link w:val="Emphasis"/>
    <w:uiPriority w:val="20"/>
    <w:qFormat/>
    <w:rsid w:val="00D31E39"/>
    <w:pPr>
      <w:pBdr>
        <w:top w:val="single" w:sz="18" w:space="0" w:color="auto"/>
        <w:left w:val="single" w:sz="18" w:space="0" w:color="auto"/>
        <w:bottom w:val="single" w:sz="18" w:space="0" w:color="auto"/>
        <w:right w:val="single" w:sz="18" w:space="0" w:color="auto"/>
      </w:pBdr>
      <w:ind w:left="720"/>
      <w:jc w:val="both"/>
    </w:pPr>
    <w:rPr>
      <w:rFonts w:eastAsiaTheme="minorHAnsi"/>
      <w:b/>
      <w:iCs/>
      <w:u w:val="single"/>
    </w:rPr>
  </w:style>
  <w:style w:type="character" w:customStyle="1" w:styleId="Heading1Char">
    <w:name w:val="Heading 1 Char"/>
    <w:aliases w:val="Pocket Char"/>
    <w:basedOn w:val="DefaultParagraphFont"/>
    <w:link w:val="Heading1"/>
    <w:uiPriority w:val="9"/>
    <w:rsid w:val="00D31E39"/>
    <w:rPr>
      <w:rFonts w:ascii="Calibri" w:eastAsiaTheme="majorEastAsia" w:hAnsi="Calibri" w:cstheme="majorBidi"/>
      <w:b/>
      <w:bCs/>
      <w:sz w:val="52"/>
      <w:szCs w:val="32"/>
    </w:rPr>
  </w:style>
  <w:style w:type="character" w:styleId="FollowedHyperlink">
    <w:name w:val="FollowedHyperlink"/>
    <w:basedOn w:val="DefaultParagraphFont"/>
    <w:uiPriority w:val="99"/>
    <w:semiHidden/>
    <w:unhideWhenUsed/>
    <w:rsid w:val="00D31E39"/>
    <w:rPr>
      <w:color w:val="auto"/>
      <w:u w:val="none"/>
    </w:rPr>
  </w:style>
  <w:style w:type="character" w:styleId="Hyperlink">
    <w:name w:val="Hyperlink"/>
    <w:basedOn w:val="DefaultParagraphFont"/>
    <w:uiPriority w:val="99"/>
    <w:semiHidden/>
    <w:unhideWhenUsed/>
    <w:rsid w:val="00D31E39"/>
    <w:rPr>
      <w:color w:val="auto"/>
      <w:u w:val="none"/>
    </w:rPr>
  </w:style>
  <w:style w:type="paragraph" w:styleId="DocumentMap">
    <w:name w:val="Document Map"/>
    <w:basedOn w:val="Normal"/>
    <w:link w:val="DocumentMapChar"/>
    <w:uiPriority w:val="99"/>
    <w:semiHidden/>
    <w:unhideWhenUsed/>
    <w:rsid w:val="00D31E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1E39"/>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17</Pages>
  <Words>24660</Words>
  <Characters>140564</Characters>
  <Application>Microsoft Office Word</Application>
  <DocSecurity>0</DocSecurity>
  <Lines>1171</Lines>
  <Paragraphs>329</Paragraphs>
  <ScaleCrop>false</ScaleCrop>
  <Company/>
  <LinksUpToDate>false</LinksUpToDate>
  <CharactersWithSpaces>164895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Abi-Karam</dc:creator>
  <cp:keywords/>
  <dc:description/>
  <cp:lastModifiedBy>Mary  Abi-Karam</cp:lastModifiedBy>
  <cp:revision>1</cp:revision>
  <dcterms:created xsi:type="dcterms:W3CDTF">2021-09-25T18:51:00Z</dcterms:created>
  <dcterms:modified xsi:type="dcterms:W3CDTF">2021-09-25T18:52:00Z</dcterms:modified>
</cp:coreProperties>
</file>