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82227" w14:textId="77777777" w:rsidR="00F67CF4" w:rsidRDefault="00F67CF4" w:rsidP="00F67CF4">
      <w:pPr>
        <w:pStyle w:val="Heading2"/>
      </w:pPr>
      <w:r>
        <w:t>1</w:t>
      </w:r>
    </w:p>
    <w:p w14:paraId="46E318BF" w14:textId="77777777" w:rsidR="00F67CF4" w:rsidRDefault="00F67CF4" w:rsidP="00F67CF4">
      <w:pPr>
        <w:pStyle w:val="Heading3"/>
      </w:pPr>
      <w:r>
        <w:t>K</w:t>
      </w:r>
    </w:p>
    <w:p w14:paraId="1139246B" w14:textId="77777777" w:rsidR="00F67CF4" w:rsidRPr="009802CC" w:rsidRDefault="00F67CF4" w:rsidP="00F67CF4">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5836C5DB" w14:textId="77777777" w:rsidR="00F67CF4" w:rsidRDefault="00F67CF4" w:rsidP="00F67CF4">
      <w:r w:rsidRPr="009802CC">
        <w:rPr>
          <w:rStyle w:val="Style13ptBold"/>
        </w:rPr>
        <w:t>Mollow 15</w:t>
      </w:r>
      <w:r w:rsidRPr="0027629E">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48514A1C" w14:textId="77777777" w:rsidR="00F67CF4" w:rsidRPr="00BC404C" w:rsidRDefault="00F67CF4" w:rsidP="00F67CF4">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7194EF0F" w14:textId="77777777" w:rsidR="00F67CF4" w:rsidRDefault="00F67CF4" w:rsidP="00F67CF4">
      <w:pPr>
        <w:pStyle w:val="Heading4"/>
      </w:pPr>
      <w:r>
        <w:t>The 1AC’s belief of a better future becomes complicit in the logic of rehabilitative futurism, which is threatened by the Disabled Child.</w:t>
      </w:r>
    </w:p>
    <w:p w14:paraId="79A3F8F3" w14:textId="77777777" w:rsidR="00F67CF4" w:rsidRPr="009802CC" w:rsidRDefault="00F67CF4" w:rsidP="00F67CF4">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22926EB3" w14:textId="77777777" w:rsidR="00F67CF4" w:rsidRPr="002E3A75" w:rsidRDefault="00F67CF4" w:rsidP="00F67CF4">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w:t>
      </w:r>
      <w:proofErr w:type="gramStart"/>
      <w:r w:rsidRPr="008F45F2">
        <w:rPr>
          <w:sz w:val="16"/>
        </w:rPr>
        <w:t>fuck</w:t>
      </w:r>
      <w:proofErr w:type="gramEnd"/>
      <w:r w:rsidRPr="008F45F2">
        <w:rPr>
          <w:sz w:val="16"/>
        </w:rPr>
        <w:t xml:space="preserve">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66AD9C92" w14:textId="77777777" w:rsidR="00F67CF4" w:rsidRPr="00120B93" w:rsidRDefault="00F67CF4" w:rsidP="00F67CF4">
      <w:pPr>
        <w:pStyle w:val="Heading4"/>
      </w:pPr>
      <w:r>
        <w:t xml:space="preserve">The alternative is to disable the figure of the “human” – instead of seeing disability as a redeemable position within civil society, the alternative weaponizes disability’s structural position against the human.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2D5C7B2F" w14:textId="77777777" w:rsidR="00F67CF4" w:rsidRPr="00225671" w:rsidRDefault="00F67CF4" w:rsidP="00F67CF4">
      <w:pPr>
        <w:rPr>
          <w:sz w:val="16"/>
          <w:szCs w:val="16"/>
        </w:rPr>
      </w:pPr>
      <w:r w:rsidRPr="00120B93">
        <w:rPr>
          <w:rStyle w:val="Style13ptBold"/>
        </w:rPr>
        <w:t>Mollow 12</w:t>
      </w:r>
      <w:r w:rsidRPr="00225671">
        <w:rPr>
          <w:sz w:val="16"/>
          <w:szCs w:val="16"/>
        </w:rPr>
        <w:t xml:space="preserve"> [Mollow, Anna. "Is Sex Disability? Queer Theory and the Disability Drive." Sex and Disability, by R. </w:t>
      </w:r>
      <w:proofErr w:type="spellStart"/>
      <w:r w:rsidRPr="00225671">
        <w:rPr>
          <w:sz w:val="16"/>
          <w:szCs w:val="16"/>
        </w:rPr>
        <w:t>McRuer</w:t>
      </w:r>
      <w:proofErr w:type="spellEnd"/>
      <w:r w:rsidRPr="00225671">
        <w:rPr>
          <w:sz w:val="16"/>
          <w:szCs w:val="16"/>
        </w:rPr>
        <w:t xml:space="preserve"> and A. Mollow, Durham, Duke UP, 2012, pp. 306-10. http://www.sfu.ca/~baw2/GSWS826/Mollow.pdf] //ACCS JM</w:t>
      </w:r>
    </w:p>
    <w:p w14:paraId="4FEE945D" w14:textId="77777777" w:rsidR="00F67CF4" w:rsidRPr="00812D7F" w:rsidRDefault="00F67CF4" w:rsidP="00F67CF4">
      <w:pPr>
        <w:rPr>
          <w:sz w:val="16"/>
        </w:rPr>
      </w:pPr>
      <w:r w:rsidRPr="00812D7F">
        <w:rPr>
          <w:sz w:val="16"/>
        </w:rPr>
        <w:t xml:space="preserve">But here a problem emerges: as we have seen, the writing by </w:t>
      </w:r>
      <w:proofErr w:type="spellStart"/>
      <w:r w:rsidRPr="00812D7F">
        <w:rPr>
          <w:sz w:val="16"/>
        </w:rPr>
        <w:t>Bersani</w:t>
      </w:r>
      <w:proofErr w:type="spellEnd"/>
      <w:r w:rsidRPr="00812D7F">
        <w:rPr>
          <w:sz w:val="16"/>
        </w:rPr>
        <w:t xml:space="preserve"> and Edelman that I have examined forwards powerful arguments against the project of becoming human. Urging queers to embrace the “inhumanity of the </w:t>
      </w:r>
      <w:proofErr w:type="spellStart"/>
      <w:r w:rsidRPr="00812D7F">
        <w:rPr>
          <w:sz w:val="16"/>
        </w:rPr>
        <w:t>sinthomosexual</w:t>
      </w:r>
      <w:proofErr w:type="spellEnd"/>
      <w:r w:rsidRPr="00812D7F">
        <w:rPr>
          <w:sz w:val="16"/>
        </w:rPr>
        <w:t xml:space="preserve">,” </w:t>
      </w:r>
      <w:r w:rsidRPr="00225671">
        <w:rPr>
          <w:rStyle w:val="StyleUnderline"/>
        </w:rPr>
        <w:t>Edelman observes</w:t>
      </w:r>
      <w:r w:rsidRPr="00812D7F">
        <w:rPr>
          <w:sz w:val="16"/>
        </w:rPr>
        <w:t xml:space="preserve"> that </w:t>
      </w:r>
      <w:r w:rsidRPr="00225671">
        <w:rPr>
          <w:rStyle w:val="StyleUnderline"/>
        </w:rPr>
        <w:t xml:space="preserve">the liberal goal of </w:t>
      </w:r>
      <w:r w:rsidRPr="00225671">
        <w:rPr>
          <w:rStyle w:val="Emphasis"/>
          <w:highlight w:val="green"/>
        </w:rPr>
        <w:t>expanding the category of “human” to encompass those</w:t>
      </w:r>
      <w:r w:rsidRPr="00812D7F">
        <w:rPr>
          <w:sz w:val="16"/>
        </w:rPr>
        <w:t xml:space="preserve"> presently </w:t>
      </w:r>
      <w:r w:rsidRPr="00225671">
        <w:rPr>
          <w:rStyle w:val="Emphasis"/>
          <w:highlight w:val="green"/>
        </w:rPr>
        <w:t>excluded</w:t>
      </w:r>
      <w:r w:rsidRPr="00812D7F">
        <w:rPr>
          <w:sz w:val="16"/>
        </w:rPr>
        <w:t xml:space="preserve"> from it </w:t>
      </w:r>
      <w:r w:rsidRPr="00225671">
        <w:rPr>
          <w:rStyle w:val="Emphasis"/>
          <w:highlight w:val="green"/>
        </w:rPr>
        <w:t>will not “stop</w:t>
      </w:r>
      <w:r w:rsidRPr="00225671">
        <w:rPr>
          <w:rStyle w:val="Emphasis"/>
        </w:rPr>
        <w:t xml:space="preserve"> the cultural production of figures”</w:t>
      </w:r>
      <w:r w:rsidRPr="00225671">
        <w:rPr>
          <w:rStyle w:val="StyleUnderline"/>
        </w:rPr>
        <w:t xml:space="preserve"> made to embody </w:t>
      </w:r>
      <w:r w:rsidRPr="00225671">
        <w:rPr>
          <w:rStyle w:val="Emphasis"/>
          <w:highlight w:val="green"/>
        </w:rPr>
        <w:t>the inhumanity of the</w:t>
      </w:r>
      <w:r w:rsidRPr="00225671">
        <w:rPr>
          <w:rStyle w:val="StyleUnderline"/>
        </w:rPr>
        <w:t xml:space="preserve"> death </w:t>
      </w:r>
      <w:r w:rsidRPr="00225671">
        <w:rPr>
          <w:rStyle w:val="Emphasis"/>
          <w:highlight w:val="green"/>
        </w:rPr>
        <w:t>drive</w:t>
      </w:r>
      <w:r w:rsidRPr="00812D7F">
        <w:rPr>
          <w:sz w:val="16"/>
        </w:rPr>
        <w:t xml:space="preserve"> (No Future 107). </w:t>
      </w:r>
      <w:r w:rsidRPr="00225671">
        <w:rPr>
          <w:rStyle w:val="StyleUnderline"/>
        </w:rPr>
        <w:t>What would it mean for disability theory to embrace disabled people’s figuration as inhuman?</w:t>
      </w:r>
      <w:r w:rsidRPr="00812D7F">
        <w:rPr>
          <w:sz w:val="16"/>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w:t>
      </w:r>
      <w:r w:rsidRPr="00225671">
        <w:rPr>
          <w:rStyle w:val="StyleUnderline"/>
        </w:rPr>
        <w:t>there is, and can be, no future, since the future, by definition, can only ever be a fantasy</w:t>
      </w:r>
      <w:r w:rsidRPr="00812D7F">
        <w:rPr>
          <w:sz w:val="16"/>
        </w:rPr>
        <w:t xml:space="preserve"> (“always / A day / Away,” in Annie’s paean to “Tomorrow”)—hardly seems more adequate than Hawking’s reply: “All I can say is that one must do the best one can in the situation in which one finds oneself ” (No Future 30; Human Being 231). </w:t>
      </w:r>
      <w:proofErr w:type="gramStart"/>
      <w:r w:rsidRPr="00812D7F">
        <w:rPr>
          <w:sz w:val="16"/>
        </w:rPr>
        <w:t>In light of</w:t>
      </w:r>
      <w:proofErr w:type="gramEnd"/>
      <w:r w:rsidRPr="00812D7F">
        <w:rPr>
          <w:sz w:val="16"/>
        </w:rPr>
        <w:t xml:space="preserve"> O’Brien’s question, </w:t>
      </w:r>
      <w:r w:rsidRPr="00225671">
        <w:rPr>
          <w:rStyle w:val="StyleUnderline"/>
        </w:rPr>
        <w:t xml:space="preserve">Edelman’s </w:t>
      </w:r>
      <w:r w:rsidRPr="00225671">
        <w:rPr>
          <w:rStyle w:val="Emphasis"/>
        </w:rPr>
        <w:t>embrace of the</w:t>
      </w:r>
      <w:r w:rsidRPr="00812D7F">
        <w:rPr>
          <w:sz w:val="16"/>
        </w:rPr>
        <w:t xml:space="preserve"> death </w:t>
      </w:r>
      <w:r w:rsidRPr="00225671">
        <w:rPr>
          <w:rStyle w:val="Emphasis"/>
        </w:rPr>
        <w:t>drive</w:t>
      </w:r>
      <w:r w:rsidRPr="00225671">
        <w:rPr>
          <w:rStyle w:val="StyleUnderline"/>
        </w:rPr>
        <w:t xml:space="preserve">, or </w:t>
      </w:r>
      <w:proofErr w:type="spellStart"/>
      <w:r w:rsidRPr="00225671">
        <w:rPr>
          <w:rStyle w:val="StyleUnderline"/>
        </w:rPr>
        <w:t>Bersani’s</w:t>
      </w:r>
      <w:proofErr w:type="spellEnd"/>
      <w:r w:rsidRPr="00225671">
        <w:rPr>
          <w:rStyle w:val="StyleUnderline"/>
        </w:rPr>
        <w:t xml:space="preserve"> celebration of what he calls “the breakdown of the human itself in sexual intensities,” </w:t>
      </w:r>
      <w:r w:rsidRPr="00225671">
        <w:rPr>
          <w:rStyle w:val="Emphasis"/>
        </w:rPr>
        <w:t>can easily appear as irresponsible theoretical indulgences</w:t>
      </w:r>
      <w:r w:rsidRPr="00812D7F">
        <w:rPr>
          <w:sz w:val="16"/>
        </w:rPr>
        <w:t xml:space="preserve"> (“Rectum” 29). Indeed, the word “irresponsible” is one that </w:t>
      </w:r>
      <w:proofErr w:type="spellStart"/>
      <w:r w:rsidRPr="00812D7F">
        <w:rPr>
          <w:sz w:val="16"/>
        </w:rPr>
        <w:t>Bersani</w:t>
      </w:r>
      <w:proofErr w:type="spellEnd"/>
      <w:r w:rsidRPr="00812D7F">
        <w:rPr>
          <w:sz w:val="16"/>
        </w:rPr>
        <w:t xml:space="preserve"> himself uses when he reflects, at a distance of thirteen years, on “Is the Rectum a Grave?”: “</w:t>
      </w:r>
      <w:r w:rsidRPr="00225671">
        <w:rPr>
          <w:rStyle w:val="Emphasis"/>
        </w:rPr>
        <w:t>Much of this now seems to me a</w:t>
      </w:r>
      <w:r w:rsidRPr="00812D7F">
        <w:rPr>
          <w:sz w:val="16"/>
        </w:rPr>
        <w:t xml:space="preserve"> rather facile, even </w:t>
      </w:r>
      <w:r w:rsidRPr="00225671">
        <w:rPr>
          <w:rStyle w:val="Emphasis"/>
        </w:rPr>
        <w:t>irresponsible celebration of ‘self- defeat.’</w:t>
      </w:r>
      <w:r w:rsidRPr="00812D7F">
        <w:rPr>
          <w:sz w:val="16"/>
        </w:rPr>
        <w:t xml:space="preserve"> Masochism is not a viable alternative to mastery, either practically or theoretically” (“Sociality” 110). This remark highlights important shifts and ambivalences in </w:t>
      </w:r>
      <w:proofErr w:type="spellStart"/>
      <w:r w:rsidRPr="00812D7F">
        <w:rPr>
          <w:sz w:val="16"/>
        </w:rPr>
        <w:t>Bersani’s</w:t>
      </w:r>
      <w:proofErr w:type="spellEnd"/>
      <w:r w:rsidRPr="00812D7F">
        <w:rPr>
          <w:sz w:val="16"/>
        </w:rPr>
        <w:t xml:space="preserve"> thinking over the course of his career, which may serve as an entry into the question of the status of the human in disability theory. </w:t>
      </w:r>
      <w:proofErr w:type="spellStart"/>
      <w:r w:rsidRPr="00812D7F">
        <w:rPr>
          <w:sz w:val="16"/>
        </w:rPr>
        <w:t>Bersani</w:t>
      </w:r>
      <w:proofErr w:type="spellEnd"/>
      <w:r w:rsidRPr="00812D7F">
        <w:rPr>
          <w:sz w:val="16"/>
        </w:rPr>
        <w:t xml:space="preserve"> and Edelman are often cited, as if in the same breath, as proponents of an “antisocial” or “</w:t>
      </w:r>
      <w:proofErr w:type="spellStart"/>
      <w:r w:rsidRPr="00812D7F">
        <w:rPr>
          <w:sz w:val="16"/>
        </w:rPr>
        <w:t>antirelational</w:t>
      </w:r>
      <w:proofErr w:type="spellEnd"/>
      <w:r w:rsidRPr="00812D7F">
        <w:rPr>
          <w:sz w:val="16"/>
        </w:rPr>
        <w:t xml:space="preserve">” “thesis” in queer theory, in opposition to which some critics of their work, such as Muñoz, have defined their own projects as “utopian.”17 But </w:t>
      </w:r>
      <w:proofErr w:type="spellStart"/>
      <w:r w:rsidRPr="00812D7F">
        <w:rPr>
          <w:sz w:val="16"/>
        </w:rPr>
        <w:t>Bersani’s</w:t>
      </w:r>
      <w:proofErr w:type="spellEnd"/>
      <w:r w:rsidRPr="00812D7F">
        <w:rPr>
          <w:sz w:val="16"/>
        </w:rPr>
        <w:t xml:space="preserve"> work, </w:t>
      </w:r>
      <w:r w:rsidRPr="00C5213A">
        <w:rPr>
          <w:rStyle w:val="Emphasis"/>
          <w:highlight w:val="green"/>
        </w:rPr>
        <w:t>rather than conforming to</w:t>
      </w:r>
      <w:r w:rsidRPr="00FB1210">
        <w:rPr>
          <w:rStyle w:val="StyleUnderline"/>
        </w:rPr>
        <w:t xml:space="preserve"> either side of </w:t>
      </w:r>
      <w:r w:rsidRPr="00C5213A">
        <w:rPr>
          <w:rStyle w:val="Emphasis"/>
          <w:highlight w:val="green"/>
        </w:rPr>
        <w:t>a utopian/</w:t>
      </w:r>
      <w:proofErr w:type="spellStart"/>
      <w:r w:rsidRPr="00C5213A">
        <w:rPr>
          <w:rStyle w:val="Emphasis"/>
          <w:highlight w:val="green"/>
        </w:rPr>
        <w:t>antirelational</w:t>
      </w:r>
      <w:proofErr w:type="spellEnd"/>
      <w:r w:rsidRPr="00C5213A">
        <w:rPr>
          <w:rStyle w:val="Emphasis"/>
          <w:highlight w:val="green"/>
        </w:rPr>
        <w:t xml:space="preserve"> binary</w:t>
      </w:r>
      <w:r w:rsidRPr="00FB1210">
        <w:rPr>
          <w:rStyle w:val="StyleUnderline"/>
        </w:rPr>
        <w:t xml:space="preserve">, often reveals an interest in </w:t>
      </w:r>
      <w:r w:rsidRPr="00C5213A">
        <w:rPr>
          <w:rStyle w:val="Emphasis"/>
          <w:highlight w:val="green"/>
        </w:rPr>
        <w:t>think</w:t>
      </w:r>
      <w:r w:rsidRPr="00FB1210">
        <w:rPr>
          <w:rStyle w:val="StyleUnderline"/>
        </w:rPr>
        <w:t xml:space="preserve">ing in </w:t>
      </w:r>
      <w:r w:rsidRPr="00C5213A">
        <w:rPr>
          <w:rStyle w:val="Emphasis"/>
          <w:highlight w:val="green"/>
        </w:rPr>
        <w:t>both</w:t>
      </w:r>
      <w:r w:rsidRPr="00FB1210">
        <w:rPr>
          <w:rStyle w:val="StyleUnderline"/>
        </w:rPr>
        <w:t xml:space="preserve"> of these ways </w:t>
      </w:r>
      <w:r w:rsidRPr="00C5213A">
        <w:rPr>
          <w:rStyle w:val="Emphasis"/>
          <w:highlight w:val="green"/>
        </w:rPr>
        <w:t>at once</w:t>
      </w:r>
      <w:r w:rsidRPr="00FB1210">
        <w:rPr>
          <w:rStyle w:val="StyleUnderline"/>
        </w:rPr>
        <w:t>.</w:t>
      </w:r>
      <w:r w:rsidRPr="00812D7F">
        <w:rPr>
          <w:sz w:val="16"/>
        </w:rPr>
        <w:t xml:space="preserve"> For example, writing of passages in his book, Homos (published in 1995) that are frequently cited as the origin of the “</w:t>
      </w:r>
      <w:proofErr w:type="spellStart"/>
      <w:r w:rsidRPr="00812D7F">
        <w:rPr>
          <w:sz w:val="16"/>
        </w:rPr>
        <w:t>antirelational</w:t>
      </w:r>
      <w:proofErr w:type="spellEnd"/>
      <w:r w:rsidRPr="00812D7F">
        <w:rPr>
          <w:sz w:val="16"/>
        </w:rPr>
        <w:t xml:space="preserve"> thesis,” </w:t>
      </w:r>
      <w:proofErr w:type="spellStart"/>
      <w:r w:rsidRPr="00B13342">
        <w:rPr>
          <w:rStyle w:val="StyleUnderline"/>
        </w:rPr>
        <w:t>Bersani</w:t>
      </w:r>
      <w:proofErr w:type="spellEnd"/>
      <w:r w:rsidRPr="00B13342">
        <w:rPr>
          <w:rStyle w:val="StyleUnderline"/>
        </w:rPr>
        <w:t xml:space="preserve"> describes the “performance of </w:t>
      </w:r>
      <w:proofErr w:type="spellStart"/>
      <w:r w:rsidRPr="00B13342">
        <w:rPr>
          <w:rStyle w:val="StyleUnderline"/>
        </w:rPr>
        <w:t>antirelationality</w:t>
      </w:r>
      <w:proofErr w:type="spellEnd"/>
      <w:r w:rsidRPr="00B13342">
        <w:rPr>
          <w:rStyle w:val="StyleUnderline"/>
        </w:rPr>
        <w:t>”</w:t>
      </w:r>
      <w:r w:rsidRPr="00812D7F">
        <w:rPr>
          <w:sz w:val="16"/>
        </w:rPr>
        <w:t xml:space="preserve"> that he celebrates in Jean Genet’s Funeral Rites </w:t>
      </w:r>
      <w:r w:rsidRPr="00B13342">
        <w:rPr>
          <w:rStyle w:val="StyleUnderline"/>
        </w:rPr>
        <w:t>as a “utopic form of revolt”</w:t>
      </w:r>
      <w:r w:rsidRPr="00812D7F">
        <w:rPr>
          <w:sz w:val="16"/>
        </w:rPr>
        <w:t xml:space="preserve"> (“Sociality” 103; emphasis added). This joining of the utopian and the </w:t>
      </w:r>
      <w:proofErr w:type="spellStart"/>
      <w:r w:rsidRPr="00812D7F">
        <w:rPr>
          <w:sz w:val="16"/>
        </w:rPr>
        <w:t>antirelational</w:t>
      </w:r>
      <w:proofErr w:type="spellEnd"/>
      <w:r w:rsidRPr="00812D7F">
        <w:rPr>
          <w:sz w:val="16"/>
        </w:rPr>
        <w:t xml:space="preserve"> corresponds to what </w:t>
      </w:r>
      <w:proofErr w:type="spellStart"/>
      <w:r w:rsidRPr="00812D7F">
        <w:rPr>
          <w:sz w:val="16"/>
        </w:rPr>
        <w:t>Bersani</w:t>
      </w:r>
      <w:proofErr w:type="spellEnd"/>
      <w:r w:rsidRPr="00812D7F">
        <w:rPr>
          <w:sz w:val="16"/>
        </w:rPr>
        <w:t xml:space="preserve"> describes, in an essay published in 2004, as a central concern throughout his career: “a dialogue (both conciliatory and antagonistic) between” Foucault and Freud (“Fr- </w:t>
      </w:r>
      <w:proofErr w:type="spellStart"/>
      <w:r w:rsidRPr="00812D7F">
        <w:rPr>
          <w:sz w:val="16"/>
        </w:rPr>
        <w:t>oucault</w:t>
      </w:r>
      <w:proofErr w:type="spellEnd"/>
      <w:r w:rsidRPr="00812D7F">
        <w:rPr>
          <w:sz w:val="16"/>
        </w:rPr>
        <w:t xml:space="preserve">” 133). In this essay and other recent writings, </w:t>
      </w:r>
      <w:proofErr w:type="spellStart"/>
      <w:r w:rsidRPr="00B13342">
        <w:rPr>
          <w:rStyle w:val="StyleUnderline"/>
        </w:rPr>
        <w:t>Bersani</w:t>
      </w:r>
      <w:proofErr w:type="spellEnd"/>
      <w:r w:rsidRPr="00B13342">
        <w:rPr>
          <w:rStyle w:val="StyleUnderline"/>
        </w:rPr>
        <w:t xml:space="preserve"> moves away from</w:t>
      </w:r>
      <w:r w:rsidRPr="00812D7F">
        <w:rPr>
          <w:sz w:val="16"/>
        </w:rPr>
        <w:t xml:space="preserve"> the “</w:t>
      </w:r>
      <w:r w:rsidRPr="00B13342">
        <w:rPr>
          <w:rStyle w:val="StyleUnderline"/>
        </w:rPr>
        <w:t>Freud</w:t>
      </w:r>
      <w:r w:rsidRPr="00812D7F">
        <w:rPr>
          <w:sz w:val="16"/>
        </w:rPr>
        <w:t xml:space="preserve">ian” and toward the “Foucauldian.” </w:t>
      </w:r>
      <w:r w:rsidRPr="00B13342">
        <w:rPr>
          <w:rStyle w:val="StyleUnderline"/>
        </w:rPr>
        <w:t>Worrying that the</w:t>
      </w:r>
      <w:r w:rsidRPr="00812D7F">
        <w:rPr>
          <w:sz w:val="16"/>
        </w:rPr>
        <w:t xml:space="preserve"> psychoanalytic (or </w:t>
      </w:r>
      <w:proofErr w:type="spellStart"/>
      <w:r w:rsidRPr="00B13342">
        <w:rPr>
          <w:rStyle w:val="StyleUnderline"/>
        </w:rPr>
        <w:t>antirelational</w:t>
      </w:r>
      <w:proofErr w:type="spellEnd"/>
      <w:r w:rsidRPr="00812D7F">
        <w:rPr>
          <w:sz w:val="16"/>
        </w:rPr>
        <w:t xml:space="preserve">) </w:t>
      </w:r>
      <w:r w:rsidRPr="00B13342">
        <w:rPr>
          <w:rStyle w:val="StyleUnderline"/>
        </w:rPr>
        <w:t>side of this paradigm may be politically irresponsible</w:t>
      </w:r>
      <w:r w:rsidRPr="00812D7F">
        <w:rPr>
          <w:sz w:val="16"/>
        </w:rPr>
        <w:t xml:space="preserve"> (insofar as its insistence on the intractability of the death drive seems “resistant to any social transformations whatsoever”), </w:t>
      </w:r>
      <w:proofErr w:type="spellStart"/>
      <w:r w:rsidRPr="00812D7F">
        <w:rPr>
          <w:sz w:val="16"/>
        </w:rPr>
        <w:t>Bersani</w:t>
      </w:r>
      <w:proofErr w:type="spellEnd"/>
      <w:r w:rsidRPr="00812D7F">
        <w:rPr>
          <w:sz w:val="16"/>
        </w:rPr>
        <w:t xml:space="preserve"> has become increasingly interested in the creation of what, invoking a phrase of Foucault’s, he calls “new relational modes” (“Fr- </w:t>
      </w:r>
      <w:proofErr w:type="spellStart"/>
      <w:r w:rsidRPr="00812D7F">
        <w:rPr>
          <w:sz w:val="16"/>
        </w:rPr>
        <w:t>oucault</w:t>
      </w:r>
      <w:proofErr w:type="spellEnd"/>
      <w:r w:rsidRPr="00812D7F">
        <w:rPr>
          <w:sz w:val="16"/>
        </w:rPr>
        <w:t xml:space="preserve">” 134). Interestingly, </w:t>
      </w:r>
      <w:r w:rsidRPr="00B13342">
        <w:rPr>
          <w:rStyle w:val="StyleUnderline"/>
        </w:rPr>
        <w:t>this</w:t>
      </w:r>
      <w:r w:rsidRPr="00812D7F">
        <w:rPr>
          <w:sz w:val="16"/>
        </w:rPr>
        <w:t xml:space="preserve"> “admittedly </w:t>
      </w:r>
      <w:r w:rsidRPr="00B13342">
        <w:rPr>
          <w:rStyle w:val="StyleUnderline"/>
        </w:rPr>
        <w:t>utopic</w:t>
      </w:r>
      <w:r w:rsidRPr="00812D7F">
        <w:rPr>
          <w:sz w:val="16"/>
        </w:rPr>
        <w:t xml:space="preserve">” </w:t>
      </w:r>
      <w:r w:rsidRPr="00B13342">
        <w:rPr>
          <w:rStyle w:val="StyleUnderline"/>
        </w:rPr>
        <w:t>project</w:t>
      </w:r>
      <w:r w:rsidRPr="00812D7F">
        <w:rPr>
          <w:sz w:val="16"/>
        </w:rPr>
        <w:t xml:space="preserve"> often </w:t>
      </w:r>
      <w:r w:rsidRPr="00B13342">
        <w:rPr>
          <w:rStyle w:val="StyleUnderline"/>
        </w:rPr>
        <w:t>employs a rhetoric of futurism, both reproductive and rehabilitative</w:t>
      </w:r>
      <w:r w:rsidRPr="00812D7F">
        <w:rPr>
          <w:sz w:val="16"/>
        </w:rPr>
        <w:t xml:space="preserve"> (</w:t>
      </w:r>
      <w:proofErr w:type="spellStart"/>
      <w:r w:rsidRPr="00812D7F">
        <w:rPr>
          <w:sz w:val="16"/>
        </w:rPr>
        <w:t>Bersani</w:t>
      </w:r>
      <w:proofErr w:type="spellEnd"/>
      <w:r w:rsidRPr="00812D7F">
        <w:rPr>
          <w:sz w:val="16"/>
        </w:rPr>
        <w:t xml:space="preserve">, “Fr- </w:t>
      </w:r>
      <w:proofErr w:type="spellStart"/>
      <w:r w:rsidRPr="00812D7F">
        <w:rPr>
          <w:sz w:val="16"/>
        </w:rPr>
        <w:t>oucault</w:t>
      </w:r>
      <w:proofErr w:type="spellEnd"/>
      <w:r w:rsidRPr="00812D7F">
        <w:rPr>
          <w:sz w:val="16"/>
        </w:rPr>
        <w:t xml:space="preserve">” 134). For example, in a reading of Plato’s Symposium, </w:t>
      </w:r>
      <w:proofErr w:type="spellStart"/>
      <w:r w:rsidRPr="00812D7F">
        <w:rPr>
          <w:sz w:val="16"/>
        </w:rPr>
        <w:t>Bersani</w:t>
      </w:r>
      <w:proofErr w:type="spellEnd"/>
      <w:r w:rsidRPr="00812D7F">
        <w:rPr>
          <w:sz w:val="16"/>
        </w:rPr>
        <w:t xml:space="preserve"> approvingly observes that “the goal of a love relation with Socrates” is “the bringing to term of the other’s pregnancy of soul” (“Sociality” 110; 117).18 Not only a pregnancy but perhaps also a </w:t>
      </w:r>
      <w:r w:rsidRPr="00E02BEE">
        <w:rPr>
          <w:rStyle w:val="Emphasis"/>
        </w:rPr>
        <w:t>rehabilitation</w:t>
      </w:r>
      <w:r w:rsidRPr="00E02BEE">
        <w:rPr>
          <w:rStyle w:val="StyleUnderline"/>
        </w:rPr>
        <w:t xml:space="preserve"> of the soul </w:t>
      </w:r>
      <w:r w:rsidRPr="00E02BEE">
        <w:rPr>
          <w:rStyle w:val="Emphasis"/>
        </w:rPr>
        <w:t>is at stake</w:t>
      </w:r>
      <w:r w:rsidRPr="00E02BEE">
        <w:rPr>
          <w:rStyle w:val="StyleUnderline"/>
        </w:rPr>
        <w:t xml:space="preserve"> at moments </w:t>
      </w:r>
      <w:r w:rsidRPr="00E02BEE">
        <w:rPr>
          <w:rStyle w:val="Emphasis"/>
        </w:rPr>
        <w:t>in</w:t>
      </w:r>
      <w:r w:rsidRPr="00E02BEE">
        <w:rPr>
          <w:rStyle w:val="StyleUnderline"/>
        </w:rPr>
        <w:t xml:space="preserve"> which </w:t>
      </w:r>
      <w:r w:rsidRPr="00E02BEE">
        <w:rPr>
          <w:rStyle w:val="Emphasis"/>
        </w:rPr>
        <w:t>a utopia</w:t>
      </w:r>
      <w:r w:rsidRPr="00E02BEE">
        <w:rPr>
          <w:rStyle w:val="StyleUnderline"/>
        </w:rPr>
        <w:t>n impulse is evident</w:t>
      </w:r>
      <w:r w:rsidRPr="00812D7F">
        <w:rPr>
          <w:sz w:val="16"/>
        </w:rPr>
        <w:t xml:space="preserve"> in </w:t>
      </w:r>
      <w:proofErr w:type="spellStart"/>
      <w:r w:rsidRPr="00812D7F">
        <w:rPr>
          <w:sz w:val="16"/>
        </w:rPr>
        <w:t>Bersani’s</w:t>
      </w:r>
      <w:proofErr w:type="spellEnd"/>
      <w:r w:rsidRPr="00812D7F">
        <w:rPr>
          <w:sz w:val="16"/>
        </w:rPr>
        <w:t xml:space="preserve"> work—as when, for example, he speaks of effecting “a curative collapse of social difference,” or of enabling a future enjoyment of “as yet unarticulated pleasures” that have thus far been “suppressed and crippled” (Homos 177; “Fr- </w:t>
      </w:r>
      <w:proofErr w:type="spellStart"/>
      <w:r w:rsidRPr="00812D7F">
        <w:rPr>
          <w:sz w:val="16"/>
        </w:rPr>
        <w:t>oucault</w:t>
      </w:r>
      <w:proofErr w:type="spellEnd"/>
      <w:r w:rsidRPr="00812D7F">
        <w:rPr>
          <w:sz w:val="16"/>
        </w:rPr>
        <w:t xml:space="preserve">” 137; emphasis added). If, as these examples suggest, Edelman is correct in asserting that </w:t>
      </w:r>
      <w:r w:rsidRPr="00E02BEE">
        <w:rPr>
          <w:rStyle w:val="StyleUnderline"/>
        </w:rPr>
        <w:t>we cannot think of the future without reference to the Child</w:t>
      </w:r>
      <w:r w:rsidRPr="00812D7F">
        <w:rPr>
          <w:sz w:val="16"/>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w:t>
      </w:r>
      <w:r w:rsidRPr="00E02BEE">
        <w:rPr>
          <w:rStyle w:val="Emphasis"/>
        </w:rPr>
        <w:t>the goal of de- institutionalization is merely a liberal one</w:t>
      </w:r>
      <w:r w:rsidRPr="00812D7F">
        <w:rPr>
          <w:sz w:val="16"/>
        </w:rPr>
        <w:t xml:space="preserve">, as </w:t>
      </w:r>
      <w:r w:rsidRPr="00E02BEE">
        <w:rPr>
          <w:rStyle w:val="Emphasis"/>
        </w:rPr>
        <w:t>it aims</w:t>
      </w:r>
      <w:r w:rsidRPr="00E02BEE">
        <w:rPr>
          <w:rStyle w:val="StyleUnderline"/>
        </w:rPr>
        <w:t xml:space="preserve"> only </w:t>
      </w:r>
      <w:r w:rsidRPr="00E02BEE">
        <w:rPr>
          <w:rStyle w:val="Emphasis"/>
        </w:rPr>
        <w:t>to include disabled people within the social fabric.</w:t>
      </w:r>
      <w:r w:rsidRPr="00812D7F">
        <w:rPr>
          <w:sz w:val="16"/>
        </w:rPr>
        <w:t xml:space="preserve">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w:t>
      </w:r>
      <w:proofErr w:type="spellStart"/>
      <w:r w:rsidRPr="00812D7F">
        <w:rPr>
          <w:sz w:val="16"/>
        </w:rPr>
        <w:t>lGbt</w:t>
      </w:r>
      <w:proofErr w:type="spellEnd"/>
      <w:r w:rsidRPr="00812D7F">
        <w:rPr>
          <w:sz w:val="16"/>
        </w:rPr>
        <w:t xml:space="preserve"> movement)? Insofar as it has acted as a “counterpart” to the disability rights movement, </w:t>
      </w:r>
      <w:r w:rsidRPr="00E02BEE">
        <w:rPr>
          <w:rStyle w:val="Emphasis"/>
          <w:highlight w:val="green"/>
        </w:rPr>
        <w:t>disability studies</w:t>
      </w:r>
      <w:r w:rsidRPr="00E02BEE">
        <w:rPr>
          <w:rStyle w:val="StyleUnderline"/>
        </w:rPr>
        <w:t xml:space="preserve"> </w:t>
      </w:r>
      <w:proofErr w:type="gramStart"/>
      <w:r w:rsidRPr="00E02BEE">
        <w:rPr>
          <w:rStyle w:val="StyleUnderline"/>
        </w:rPr>
        <w:t>has</w:t>
      </w:r>
      <w:proofErr w:type="gramEnd"/>
      <w:r w:rsidRPr="00E02BEE">
        <w:rPr>
          <w:rStyle w:val="StyleUnderline"/>
        </w:rPr>
        <w:t xml:space="preserve"> made crucial contributions to what might be called a humanizing enterprise. It </w:t>
      </w:r>
      <w:r w:rsidRPr="00E02BEE">
        <w:rPr>
          <w:rStyle w:val="Emphasis"/>
          <w:highlight w:val="green"/>
        </w:rPr>
        <w:t>has offered</w:t>
      </w:r>
      <w:r w:rsidRPr="00812D7F">
        <w:rPr>
          <w:sz w:val="16"/>
        </w:rPr>
        <w:t xml:space="preserve">, for example, </w:t>
      </w:r>
      <w:r w:rsidRPr="00E02BEE">
        <w:rPr>
          <w:rStyle w:val="StyleUnderline"/>
        </w:rPr>
        <w:t xml:space="preserve">myriad analyses of the </w:t>
      </w:r>
      <w:r w:rsidRPr="00E02BEE">
        <w:rPr>
          <w:rStyle w:val="Emphasis"/>
          <w:highlight w:val="green"/>
        </w:rPr>
        <w:t>reasons for</w:t>
      </w:r>
      <w:r w:rsidRPr="00E02BEE">
        <w:rPr>
          <w:rStyle w:val="StyleUnderline"/>
        </w:rPr>
        <w:t xml:space="preserve"> our </w:t>
      </w:r>
      <w:r w:rsidRPr="00E02BEE">
        <w:rPr>
          <w:rStyle w:val="Emphasis"/>
          <w:highlight w:val="green"/>
        </w:rPr>
        <w:t>society’s</w:t>
      </w:r>
      <w:r w:rsidRPr="00E02BEE">
        <w:rPr>
          <w:rStyle w:val="StyleUnderline"/>
        </w:rPr>
        <w:t xml:space="preserve"> willingness—its </w:t>
      </w:r>
      <w:r w:rsidRPr="00E02BEE">
        <w:rPr>
          <w:rStyle w:val="Emphasis"/>
          <w:highlight w:val="green"/>
        </w:rPr>
        <w:t>desperation</w:t>
      </w:r>
      <w:r w:rsidRPr="00E02BEE">
        <w:rPr>
          <w:rStyle w:val="StyleUnderline"/>
        </w:rPr>
        <w:t>, even—</w:t>
      </w:r>
      <w:r w:rsidRPr="00E02BEE">
        <w:rPr>
          <w:rStyle w:val="Emphasis"/>
          <w:highlight w:val="green"/>
        </w:rPr>
        <w:t>to dehumanize and exclude disabled people</w:t>
      </w:r>
      <w:r w:rsidRPr="00E02BEE">
        <w:rPr>
          <w:rStyle w:val="StyleUnderline"/>
        </w:rPr>
        <w:t xml:space="preserve">, even </w:t>
      </w:r>
      <w:r w:rsidRPr="00E02BEE">
        <w:rPr>
          <w:rStyle w:val="Emphasis"/>
        </w:rPr>
        <w:t>to the point of locking them up.</w:t>
      </w:r>
      <w:r w:rsidRPr="00812D7F">
        <w:rPr>
          <w:sz w:val="16"/>
        </w:rPr>
        <w:t xml:space="preserve">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w:t>
      </w:r>
      <w:r w:rsidRPr="00E02BEE">
        <w:rPr>
          <w:rStyle w:val="StyleUnderline"/>
        </w:rPr>
        <w:t>sex</w:t>
      </w:r>
      <w:r w:rsidRPr="00812D7F">
        <w:rPr>
          <w:sz w:val="16"/>
        </w:rPr>
        <w:t xml:space="preserve">, psychoanalysis shows us, </w:t>
      </w:r>
      <w:r w:rsidRPr="00E02BEE">
        <w:rPr>
          <w:rStyle w:val="StyleUnderline"/>
        </w:rPr>
        <w:t>is radically dehumanizing</w:t>
      </w:r>
      <w:r w:rsidRPr="00812D7F">
        <w:rPr>
          <w:sz w:val="16"/>
        </w:rPr>
        <w:t xml:space="preserve">, </w:t>
      </w:r>
      <w:r w:rsidRPr="00E02BEE">
        <w:rPr>
          <w:rStyle w:val="StyleUnderline"/>
        </w:rPr>
        <w:t>effecting a “shattering” of “the structured self” rather than its entrenchment in personhood or identity.</w:t>
      </w:r>
      <w:r w:rsidRPr="00812D7F">
        <w:rPr>
          <w:sz w:val="16"/>
        </w:rPr>
        <w:t xml:space="preserve"> This paradox is at the root of </w:t>
      </w:r>
      <w:r w:rsidRPr="00E02BEE">
        <w:rPr>
          <w:rStyle w:val="Emphasis"/>
          <w:highlight w:val="green"/>
        </w:rPr>
        <w:t>the double bind</w:t>
      </w:r>
      <w:r w:rsidRPr="00812D7F">
        <w:rPr>
          <w:sz w:val="16"/>
        </w:rPr>
        <w:t xml:space="preserve"> I discussed in the introduction to this chapter, in which disability </w:t>
      </w:r>
      <w:r w:rsidRPr="00E02BEE">
        <w:rPr>
          <w:rStyle w:val="Emphasis"/>
          <w:highlight w:val="green"/>
        </w:rPr>
        <w:t>simultaneously figures</w:t>
      </w:r>
      <w:r w:rsidRPr="00E02BEE">
        <w:rPr>
          <w:rStyle w:val="StyleUnderline"/>
        </w:rPr>
        <w:t xml:space="preserve"> sexual </w:t>
      </w:r>
      <w:r w:rsidRPr="00E02BEE">
        <w:rPr>
          <w:rStyle w:val="Emphasis"/>
          <w:highlight w:val="green"/>
        </w:rPr>
        <w:t>excess and</w:t>
      </w:r>
      <w:r w:rsidRPr="00E02BEE">
        <w:rPr>
          <w:rStyle w:val="StyleUnderline"/>
        </w:rPr>
        <w:t xml:space="preserve"> sexual </w:t>
      </w:r>
      <w:proofErr w:type="gramStart"/>
      <w:r w:rsidRPr="00E02BEE">
        <w:rPr>
          <w:rStyle w:val="Emphasis"/>
          <w:highlight w:val="green"/>
        </w:rPr>
        <w:t>lack</w:t>
      </w:r>
      <w:r w:rsidRPr="00812D7F">
        <w:rPr>
          <w:sz w:val="16"/>
        </w:rPr>
        <w:t>:</w:t>
      </w:r>
      <w:proofErr w:type="gramEnd"/>
      <w:r w:rsidRPr="00812D7F">
        <w:rPr>
          <w:sz w:val="16"/>
        </w:rPr>
        <w:t xml:space="preserve"> </w:t>
      </w:r>
      <w:r w:rsidRPr="00E02BEE">
        <w:rPr>
          <w:rStyle w:val="Emphasis"/>
        </w:rPr>
        <w:t>disabled people are regarded as</w:t>
      </w:r>
      <w:r w:rsidRPr="00E02BEE">
        <w:rPr>
          <w:rStyle w:val="StyleUnderline"/>
        </w:rPr>
        <w:t xml:space="preserve"> sexually deficient and therefore </w:t>
      </w:r>
      <w:r w:rsidRPr="00E02BEE">
        <w:rPr>
          <w:rStyle w:val="Emphasis"/>
        </w:rPr>
        <w:t>not fully human</w:t>
      </w:r>
      <w:r w:rsidRPr="00E02BEE">
        <w:rPr>
          <w:rStyle w:val="StyleUnderline"/>
        </w:rPr>
        <w:t xml:space="preserve">, </w:t>
      </w:r>
      <w:r w:rsidRPr="00E02BEE">
        <w:rPr>
          <w:rStyle w:val="Emphasis"/>
        </w:rPr>
        <w:t>but</w:t>
      </w:r>
      <w:r w:rsidRPr="00A159F4">
        <w:rPr>
          <w:rStyle w:val="StyleUnderline"/>
        </w:rPr>
        <w:t xml:space="preserve"> at the same time, disabled people register as </w:t>
      </w:r>
      <w:r w:rsidRPr="00E02BEE">
        <w:rPr>
          <w:rStyle w:val="Emphasis"/>
        </w:rPr>
        <w:t>less than human</w:t>
      </w:r>
      <w:r w:rsidRPr="00E02BEE">
        <w:rPr>
          <w:rStyle w:val="StyleUnderline"/>
        </w:rPr>
        <w:t xml:space="preserve"> because disability is the ubiquitous figure for a dehumanizing, identity- disintegrating force that resembles sex.</w:t>
      </w:r>
      <w:r w:rsidRPr="00812D7F">
        <w:rPr>
          <w:sz w:val="16"/>
        </w:rPr>
        <w:t xml:space="preserve"> If, as the second half of this paradoxical construction suggests, </w:t>
      </w:r>
      <w:r w:rsidRPr="00A159F4">
        <w:rPr>
          <w:rStyle w:val="StyleUnderline"/>
        </w:rPr>
        <w:t>assertions of humanity are in necessary conflict with expressions of sexuality</w:t>
      </w:r>
      <w:r w:rsidRPr="00812D7F">
        <w:rPr>
          <w:sz w:val="16"/>
        </w:rPr>
        <w:t xml:space="preserve">, then perhaps </w:t>
      </w:r>
      <w:r w:rsidRPr="00A159F4">
        <w:rPr>
          <w:rStyle w:val="Emphasis"/>
          <w:highlight w:val="green"/>
        </w:rPr>
        <w:t>disability theory should</w:t>
      </w:r>
      <w:r w:rsidRPr="00A159F4">
        <w:rPr>
          <w:rStyle w:val="StyleUnderline"/>
        </w:rPr>
        <w:t xml:space="preserve">, </w:t>
      </w:r>
      <w:r w:rsidRPr="00A159F4">
        <w:rPr>
          <w:rStyle w:val="Emphasis"/>
          <w:highlight w:val="green"/>
        </w:rPr>
        <w:t>rather than</w:t>
      </w:r>
      <w:r w:rsidRPr="00A159F4">
        <w:rPr>
          <w:rStyle w:val="StyleUnderline"/>
        </w:rPr>
        <w:t xml:space="preserve"> seeking to </w:t>
      </w:r>
      <w:r w:rsidRPr="00A159F4">
        <w:rPr>
          <w:rStyle w:val="Emphasis"/>
          <w:highlight w:val="green"/>
        </w:rPr>
        <w:t>humanize the disabled</w:t>
      </w:r>
      <w:r w:rsidRPr="00812D7F">
        <w:rPr>
          <w:sz w:val="16"/>
        </w:rPr>
        <w:t xml:space="preserve"> (</w:t>
      </w:r>
      <w:r w:rsidRPr="00A159F4">
        <w:rPr>
          <w:rStyle w:val="Emphasis"/>
        </w:rPr>
        <w:t>insisting that disabled people be treated “as human beings”</w:t>
      </w:r>
      <w:r w:rsidRPr="00812D7F">
        <w:rPr>
          <w:sz w:val="16"/>
        </w:rPr>
        <w:t xml:space="preserve">), </w:t>
      </w:r>
      <w:r w:rsidRPr="00A159F4">
        <w:rPr>
          <w:rStyle w:val="Emphasis"/>
          <w:highlight w:val="green"/>
        </w:rPr>
        <w:t>instead</w:t>
      </w:r>
      <w:r w:rsidRPr="00A159F4">
        <w:rPr>
          <w:rStyle w:val="StyleUnderline"/>
        </w:rPr>
        <w:t xml:space="preserve"> ask how disability might threaten to undo, or </w:t>
      </w:r>
      <w:r w:rsidRPr="00A159F4">
        <w:rPr>
          <w:rStyle w:val="Emphasis"/>
          <w:highlight w:val="green"/>
        </w:rPr>
        <w:t>disable</w:t>
      </w:r>
      <w:r w:rsidRPr="00A159F4">
        <w:rPr>
          <w:rStyle w:val="StyleUnderline"/>
        </w:rPr>
        <w:t xml:space="preserve">, the category of </w:t>
      </w:r>
      <w:r w:rsidRPr="00A159F4">
        <w:rPr>
          <w:rStyle w:val="Emphasis"/>
          <w:highlight w:val="green"/>
        </w:rPr>
        <w:t>the human.</w:t>
      </w:r>
      <w:r w:rsidRPr="00812D7F">
        <w:rPr>
          <w:sz w:val="16"/>
        </w:rPr>
        <w:t xml:space="preserve"> It might do so in part by attending to the insights </w:t>
      </w:r>
      <w:proofErr w:type="spellStart"/>
      <w:r w:rsidRPr="00812D7F">
        <w:rPr>
          <w:sz w:val="16"/>
        </w:rPr>
        <w:t>Bersani’s</w:t>
      </w:r>
      <w:proofErr w:type="spellEnd"/>
      <w:r w:rsidRPr="00812D7F">
        <w:rPr>
          <w:sz w:val="16"/>
        </w:rPr>
        <w:t xml:space="preserve"> and Edelman’s readings of psychoanalytic theory yield, according to which sex, far from </w:t>
      </w:r>
      <w:r w:rsidRPr="00A159F4">
        <w:rPr>
          <w:rStyle w:val="StyleUnderline"/>
        </w:rPr>
        <w:t>enabling us to</w:t>
      </w:r>
      <w:r w:rsidRPr="00812D7F">
        <w:rPr>
          <w:sz w:val="16"/>
        </w:rPr>
        <w:t xml:space="preserve"> “become people,” </w:t>
      </w:r>
      <w:r w:rsidRPr="00A159F4">
        <w:rPr>
          <w:rStyle w:val="StyleUnderline"/>
        </w:rPr>
        <w:t>rupture</w:t>
      </w:r>
      <w:r w:rsidRPr="00812D7F">
        <w:rPr>
          <w:sz w:val="16"/>
        </w:rPr>
        <w:t xml:space="preserve">s </w:t>
      </w:r>
      <w:r w:rsidRPr="00A159F4">
        <w:rPr>
          <w:rStyle w:val="StyleUnderline"/>
        </w:rPr>
        <w:t>the self and dehumanizes us all.</w:t>
      </w:r>
      <w:r w:rsidRPr="00812D7F">
        <w:rPr>
          <w:sz w:val="16"/>
        </w:rPr>
        <w:t xml:space="preserve"> But what, then, would become of disability politics? Critics of No Future— despite Edelman’s insistence that its argument pertains to “</w:t>
      </w:r>
      <w:proofErr w:type="spellStart"/>
      <w:r w:rsidRPr="00812D7F">
        <w:rPr>
          <w:sz w:val="16"/>
        </w:rPr>
        <w:t>figurality</w:t>
      </w:r>
      <w:proofErr w:type="spellEnd"/>
      <w:r w:rsidRPr="00812D7F">
        <w:rPr>
          <w:sz w:val="16"/>
        </w:rPr>
        <w:t xml:space="preserve">,” not to “being or becoming” the death drive—tend to read the book as advocating, on a literal level, the </w:t>
      </w:r>
      <w:r w:rsidRPr="00CB6221">
        <w:rPr>
          <w:rStyle w:val="Emphasis"/>
          <w:highlight w:val="green"/>
        </w:rPr>
        <w:t>abandon</w:t>
      </w:r>
      <w:r w:rsidRPr="00812D7F">
        <w:rPr>
          <w:sz w:val="16"/>
        </w:rPr>
        <w:t>ment of hope and political goals (No Future 17; 25).19 As noted earlier, however, it is “</w:t>
      </w:r>
      <w:r w:rsidRPr="00CB6221">
        <w:rPr>
          <w:rStyle w:val="Emphasis"/>
          <w:highlight w:val="green"/>
        </w:rPr>
        <w:t>politics</w:t>
      </w:r>
      <w:r w:rsidRPr="00812D7F">
        <w:rPr>
          <w:sz w:val="16"/>
        </w:rPr>
        <w:t xml:space="preserve"> as we know it”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need for an ongoing counterproject as well: a project that’s willing to forgo the privilege of social recognition” (473; emphasis added). Such a counterproject—one that can be read as possibly opposing the humanizing impulse 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w:t>
      </w:r>
      <w:proofErr w:type="gramStart"/>
      <w:r w:rsidRPr="00812D7F">
        <w:rPr>
          <w:sz w:val="16"/>
        </w:rPr>
        <w:t>cock</w:t>
      </w:r>
      <w:proofErr w:type="gramEnd"/>
      <w:r w:rsidRPr="00812D7F">
        <w:rPr>
          <w:sz w:val="16"/>
        </w:rPr>
        <w:t xml:space="preserve"> and balls off. Make me a girl, without </w:t>
      </w:r>
      <w:proofErr w:type="spellStart"/>
      <w:r w:rsidRPr="00812D7F">
        <w:rPr>
          <w:sz w:val="16"/>
        </w:rPr>
        <w:t>anaesthesia</w:t>
      </w:r>
      <w:proofErr w:type="spellEnd"/>
      <w:r w:rsidRPr="00812D7F">
        <w:rPr>
          <w:sz w:val="16"/>
        </w:rPr>
        <w:t xml:space="preserve">, make me a girl, make me a girl.”20 Much of the unnerving intensity of these lines derives from what, invoking </w:t>
      </w:r>
      <w:proofErr w:type="spellStart"/>
      <w:r w:rsidRPr="00812D7F">
        <w:rPr>
          <w:sz w:val="16"/>
        </w:rPr>
        <w:t>Bersani</w:t>
      </w:r>
      <w:proofErr w:type="spellEnd"/>
      <w:r w:rsidRPr="00812D7F">
        <w:rPr>
          <w:sz w:val="16"/>
        </w:rPr>
        <w:t xml:space="preserve">,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 </w:t>
      </w:r>
      <w:r w:rsidRPr="00CB6221">
        <w:rPr>
          <w:rStyle w:val="Emphasis"/>
          <w:highlight w:val="green"/>
        </w:rPr>
        <w:t>Suffering and lack</w:t>
      </w:r>
      <w:r w:rsidRPr="00CB6221">
        <w:rPr>
          <w:rStyle w:val="StyleUnderline"/>
          <w:highlight w:val="green"/>
        </w:rPr>
        <w:t xml:space="preserve">, </w:t>
      </w:r>
      <w:r w:rsidRPr="00CB6221">
        <w:rPr>
          <w:rStyle w:val="Emphasis"/>
          <w:highlight w:val="green"/>
        </w:rPr>
        <w:t>rather than</w:t>
      </w:r>
      <w:r w:rsidRPr="00CB6221">
        <w:rPr>
          <w:rStyle w:val="StyleUnderline"/>
        </w:rPr>
        <w:t xml:space="preserve"> being </w:t>
      </w:r>
      <w:r w:rsidRPr="00CB6221">
        <w:rPr>
          <w:rStyle w:val="Emphasis"/>
          <w:highlight w:val="green"/>
        </w:rPr>
        <w:t>dissociated from disability</w:t>
      </w:r>
      <w:r w:rsidRPr="00CB6221">
        <w:rPr>
          <w:rStyle w:val="StyleUnderline"/>
          <w:highlight w:val="green"/>
        </w:rPr>
        <w:t xml:space="preserve">, </w:t>
      </w:r>
      <w:r w:rsidRPr="00CB6221">
        <w:rPr>
          <w:rStyle w:val="Emphasis"/>
          <w:highlight w:val="green"/>
        </w:rPr>
        <w:t>are amplified</w:t>
      </w:r>
      <w:r w:rsidRPr="00CB6221">
        <w:rPr>
          <w:rStyle w:val="StyleUnderline"/>
        </w:rPr>
        <w:t xml:space="preserve"> and eroticized</w:t>
      </w:r>
      <w:r w:rsidRPr="00812D7F">
        <w:rPr>
          <w:sz w:val="16"/>
        </w:rPr>
        <w:t xml:space="preserve">: “cut my cock and balls off . . . without </w:t>
      </w:r>
      <w:proofErr w:type="spellStart"/>
      <w:r w:rsidRPr="00812D7F">
        <w:rPr>
          <w:sz w:val="16"/>
        </w:rPr>
        <w:t>anaesthesia</w:t>
      </w:r>
      <w:proofErr w:type="spellEnd"/>
      <w:r w:rsidRPr="00812D7F">
        <w:rPr>
          <w:sz w:val="16"/>
        </w:rPr>
        <w:t xml:space="preserve">,” the speaker implores, the repetition of his plea (“make me a girl, / make me a girl”) evoking the repetitiveness of a drive. “Femininity” can indeed be read as an instantiation of the disability drive: disability in this poem, like “the rectum” in </w:t>
      </w:r>
      <w:proofErr w:type="spellStart"/>
      <w:r w:rsidRPr="00812D7F">
        <w:rPr>
          <w:sz w:val="16"/>
        </w:rPr>
        <w:t>Bersani’s</w:t>
      </w:r>
      <w:proofErr w:type="spellEnd"/>
      <w:r w:rsidRPr="00812D7F">
        <w:rPr>
          <w:sz w:val="16"/>
        </w:rPr>
        <w:t xml:space="preserve"> essay, “is the grave in which the masculine [and nondisabled] ideal of proud subjectivity is buried.” </w:t>
      </w:r>
      <w:r w:rsidRPr="00CB6221">
        <w:rPr>
          <w:rStyle w:val="Emphasis"/>
          <w:highlight w:val="green"/>
        </w:rPr>
        <w:t>It will</w:t>
      </w:r>
      <w:r w:rsidRPr="00812D7F">
        <w:rPr>
          <w:sz w:val="16"/>
        </w:rPr>
        <w:t xml:space="preserve"> of course </w:t>
      </w:r>
      <w:r w:rsidRPr="00CB6221">
        <w:rPr>
          <w:rStyle w:val="Emphasis"/>
          <w:highlight w:val="green"/>
        </w:rPr>
        <w:t>be tempting to evade</w:t>
      </w:r>
      <w:r w:rsidRPr="00CB6221">
        <w:rPr>
          <w:rStyle w:val="StyleUnderline"/>
        </w:rPr>
        <w:t xml:space="preserve"> this “nightmare of ontological obscenity</w:t>
      </w:r>
      <w:r w:rsidRPr="00812D7F">
        <w:rPr>
          <w:sz w:val="16"/>
        </w:rPr>
        <w:t xml:space="preserve">” (“Rectum” 29), </w:t>
      </w:r>
      <w:r w:rsidRPr="00CB6221">
        <w:rPr>
          <w:rStyle w:val="StyleUnderline"/>
        </w:rPr>
        <w:t xml:space="preserve">this fantasy of </w:t>
      </w:r>
      <w:r w:rsidRPr="00CB6221">
        <w:rPr>
          <w:rStyle w:val="Emphasis"/>
          <w:highlight w:val="green"/>
        </w:rPr>
        <w:t>unbecoming human.</w:t>
      </w:r>
      <w:r w:rsidRPr="00812D7F">
        <w:rPr>
          <w:sz w:val="16"/>
        </w:rPr>
        <w:t xml:space="preserve">21 </w:t>
      </w:r>
      <w:r w:rsidRPr="00CB6221">
        <w:rPr>
          <w:rStyle w:val="Emphasis"/>
          <w:highlight w:val="green"/>
        </w:rPr>
        <w:t>But the dehumanizing double bind</w:t>
      </w:r>
      <w:r w:rsidRPr="00CB6221">
        <w:rPr>
          <w:rStyle w:val="StyleUnderline"/>
        </w:rPr>
        <w:t xml:space="preserve">s that so persistently </w:t>
      </w:r>
      <w:r w:rsidRPr="00CB6221">
        <w:rPr>
          <w:rStyle w:val="Emphasis"/>
        </w:rPr>
        <w:t>structure cultur</w:t>
      </w:r>
      <w:r w:rsidRPr="00CB6221">
        <w:rPr>
          <w:rStyle w:val="StyleUnderline"/>
        </w:rPr>
        <w:t xml:space="preserve">al representations of sex and disability </w:t>
      </w:r>
      <w:r w:rsidRPr="00CB6221">
        <w:rPr>
          <w:rStyle w:val="Emphasis"/>
          <w:highlight w:val="green"/>
        </w:rPr>
        <w:t>suggest that</w:t>
      </w:r>
      <w:r w:rsidRPr="00CB6221">
        <w:rPr>
          <w:rStyle w:val="StyleUnderline"/>
        </w:rPr>
        <w:t xml:space="preserve"> such</w:t>
      </w:r>
      <w:r w:rsidRPr="00CB6221">
        <w:rPr>
          <w:rStyle w:val="Emphasis"/>
        </w:rPr>
        <w:t xml:space="preserve"> </w:t>
      </w:r>
      <w:r w:rsidRPr="00CB6221">
        <w:rPr>
          <w:rStyle w:val="Emphasis"/>
          <w:highlight w:val="green"/>
        </w:rPr>
        <w:t>evasions may be futile.</w:t>
      </w:r>
      <w:r w:rsidRPr="00812D7F">
        <w:rPr>
          <w:sz w:val="16"/>
        </w:rPr>
        <w:t xml:space="preserve"> Intrinsically obscene, yet inherently asexual: </w:t>
      </w:r>
      <w:r w:rsidRPr="00CB6221">
        <w:rPr>
          <w:rStyle w:val="Emphasis"/>
          <w:highlight w:val="green"/>
        </w:rPr>
        <w:t>rather than</w:t>
      </w:r>
      <w:r w:rsidRPr="00CB6221">
        <w:rPr>
          <w:rStyle w:val="Emphasis"/>
        </w:rPr>
        <w:t xml:space="preserve"> attempting </w:t>
      </w:r>
      <w:r w:rsidRPr="00CB6221">
        <w:rPr>
          <w:rStyle w:val="Emphasis"/>
          <w:highlight w:val="green"/>
        </w:rPr>
        <w:t>to assume a different position within this impossible paradigm, disability theory should</w:t>
      </w:r>
      <w:r w:rsidRPr="00CB6221">
        <w:rPr>
          <w:rStyle w:val="StyleUnderline"/>
        </w:rPr>
        <w:t xml:space="preserve"> perhaps </w:t>
      </w:r>
      <w:r w:rsidRPr="00CB6221">
        <w:rPr>
          <w:rStyle w:val="Emphasis"/>
          <w:highlight w:val="green"/>
        </w:rPr>
        <w:t>underscore its pervasiveness as evidence of a disability drive</w:t>
      </w:r>
      <w:r w:rsidRPr="00812D7F">
        <w:rPr>
          <w:sz w:val="16"/>
        </w:rPr>
        <w:t xml:space="preserve">; as a sign, that is, that our culture’s </w:t>
      </w:r>
      <w:proofErr w:type="spellStart"/>
      <w:r w:rsidRPr="00812D7F">
        <w:rPr>
          <w:sz w:val="16"/>
        </w:rPr>
        <w:t>desexualization</w:t>
      </w:r>
      <w:proofErr w:type="spellEnd"/>
      <w:r w:rsidRPr="00812D7F">
        <w:rPr>
          <w:sz w:val="16"/>
        </w:rPr>
        <w:t xml:space="preserve"> of disabled people functions to defend against a deeply rooted but seldom acknowledged awareness that all sex is incurably, and perhaps desirably, disabled.</w:t>
      </w:r>
    </w:p>
    <w:p w14:paraId="0EBE88E8" w14:textId="77777777" w:rsidR="00F67CF4" w:rsidRPr="00BC70E0" w:rsidRDefault="00F67CF4" w:rsidP="00F67CF4">
      <w:pPr>
        <w:pStyle w:val="Heading4"/>
      </w:pPr>
      <w:r>
        <w:t>T</w:t>
      </w:r>
      <w:r w:rsidRPr="00BC70E0">
        <w:t>heir analysis ignores the ways in which uncertainty, confusion, and the overall drive determine us. Instead, you should adopt epistemological disablement and be suspect of complete knowledge of the self.</w:t>
      </w:r>
    </w:p>
    <w:p w14:paraId="3E96ECF2" w14:textId="77777777" w:rsidR="00F67CF4" w:rsidRPr="00D21B0E" w:rsidRDefault="00F67CF4" w:rsidP="00F67CF4">
      <w:r w:rsidRPr="00D21B0E">
        <w:rPr>
          <w:rStyle w:val="Style13ptBold"/>
        </w:rPr>
        <w:t xml:space="preserve">Mollow </w:t>
      </w:r>
      <w:r>
        <w:rPr>
          <w:rStyle w:val="Style13ptBold"/>
        </w:rPr>
        <w:t>4</w:t>
      </w:r>
      <w:r w:rsidRPr="00D21B0E">
        <w:rPr>
          <w:sz w:val="16"/>
          <w:szCs w:val="1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w:t>
      </w:r>
      <w:r>
        <w:rPr>
          <w:sz w:val="16"/>
          <w:szCs w:val="16"/>
        </w:rPr>
        <w:t xml:space="preserve"> </w:t>
      </w:r>
      <w:r w:rsidRPr="009802CC">
        <w:rPr>
          <w:sz w:val="16"/>
          <w:szCs w:val="16"/>
        </w:rPr>
        <w:t>//</w:t>
      </w:r>
      <w:r>
        <w:rPr>
          <w:sz w:val="16"/>
          <w:szCs w:val="16"/>
        </w:rPr>
        <w:t>ACCS JM</w:t>
      </w:r>
    </w:p>
    <w:p w14:paraId="3F0CD063" w14:textId="77777777" w:rsidR="00F67CF4" w:rsidRPr="00EA00B3" w:rsidRDefault="00F67CF4" w:rsidP="00F67CF4">
      <w:pPr>
        <w:rPr>
          <w:sz w:val="16"/>
        </w:rPr>
      </w:pPr>
      <w:r w:rsidRPr="00FA4D8A">
        <w:rPr>
          <w:sz w:val="16"/>
        </w:rPr>
        <w:t xml:space="preserve">How, then, might we begin to acknowledge our own determination by the drive? </w:t>
      </w:r>
      <w:r w:rsidRPr="00734F69">
        <w:rPr>
          <w:rStyle w:val="Emphasis"/>
          <w:highlight w:val="green"/>
        </w:rPr>
        <w:t>Any knowing of the drive</w:t>
      </w:r>
      <w:r w:rsidRPr="00734F69">
        <w:rPr>
          <w:rStyle w:val="StyleUnderline"/>
        </w:rPr>
        <w:t xml:space="preserve"> that </w:t>
      </w:r>
      <w:r w:rsidRPr="00734F69">
        <w:rPr>
          <w:rStyle w:val="Emphasis"/>
        </w:rPr>
        <w:t>we</w:t>
      </w:r>
      <w:r w:rsidRPr="00FA4D8A">
        <w:rPr>
          <w:sz w:val="16"/>
        </w:rPr>
        <w:t xml:space="preserve"> might </w:t>
      </w:r>
      <w:r w:rsidRPr="00734F69">
        <w:rPr>
          <w:rStyle w:val="Emphasis"/>
        </w:rPr>
        <w:t>hope to achieve</w:t>
      </w:r>
      <w:r w:rsidRPr="00734F69">
        <w:rPr>
          <w:rStyle w:val="StyleUnderline"/>
        </w:rPr>
        <w:t xml:space="preserve"> </w:t>
      </w:r>
      <w:r w:rsidRPr="00734F69">
        <w:rPr>
          <w:rStyle w:val="Emphasis"/>
          <w:highlight w:val="green"/>
        </w:rPr>
        <w:t>must</w:t>
      </w:r>
      <w:r w:rsidRPr="00FA4D8A">
        <w:rPr>
          <w:sz w:val="16"/>
        </w:rPr>
        <w:t xml:space="preserve">, on account of the structural barriers that render the drive unthinkable, </w:t>
      </w:r>
      <w:r w:rsidRPr="00734F69">
        <w:rPr>
          <w:rStyle w:val="Emphasis"/>
          <w:highlight w:val="green"/>
        </w:rPr>
        <w:t>be</w:t>
      </w:r>
      <w:r w:rsidRPr="00734F69">
        <w:rPr>
          <w:rStyle w:val="StyleUnderline"/>
        </w:rPr>
        <w:t xml:space="preserve"> an effort </w:t>
      </w:r>
      <w:r w:rsidRPr="00734F69">
        <w:rPr>
          <w:rStyle w:val="Emphasis"/>
          <w:highlight w:val="green"/>
        </w:rPr>
        <w:t>characterized by</w:t>
      </w:r>
      <w:r w:rsidRPr="00B135B7">
        <w:rPr>
          <w:rStyle w:val="Emphasis"/>
        </w:rPr>
        <w:t xml:space="preserve"> failure</w:t>
      </w:r>
      <w:r w:rsidRPr="00734F69">
        <w:rPr>
          <w:rStyle w:val="StyleUnderline"/>
        </w:rPr>
        <w:t xml:space="preserve"> </w:t>
      </w:r>
      <w:r w:rsidRPr="00734F69">
        <w:rPr>
          <w:rStyle w:val="Emphasis"/>
        </w:rPr>
        <w:t xml:space="preserve">and </w:t>
      </w:r>
      <w:r w:rsidRPr="00B135B7">
        <w:rPr>
          <w:rStyle w:val="Emphasis"/>
          <w:highlight w:val="green"/>
        </w:rPr>
        <w:t>incompletion</w:t>
      </w:r>
      <w:r w:rsidRPr="00734F69">
        <w:rPr>
          <w:rStyle w:val="StyleUnderline"/>
        </w:rPr>
        <w:t>—that is</w:t>
      </w:r>
      <w:r w:rsidRPr="00FA4D8A">
        <w:rPr>
          <w:sz w:val="16"/>
        </w:rPr>
        <w:t xml:space="preserve">, we might say, by </w:t>
      </w:r>
      <w:r w:rsidRPr="00734F69">
        <w:rPr>
          <w:rStyle w:val="Emphasis"/>
        </w:rPr>
        <w:t>epistemological disablement.</w:t>
      </w:r>
      <w:r w:rsidRPr="00FA4D8A">
        <w:rPr>
          <w:sz w:val="16"/>
        </w:rPr>
        <w:t xml:space="preserve"> The term “epistemological disablement” will appear frequently in this dissertation, as I will argue that </w:t>
      </w:r>
      <w:r w:rsidRPr="00734F69">
        <w:rPr>
          <w:rStyle w:val="Emphasis"/>
          <w:highlight w:val="green"/>
        </w:rPr>
        <w:t>coming into</w:t>
      </w:r>
      <w:r w:rsidRPr="00734F69">
        <w:rPr>
          <w:rStyle w:val="StyleUnderline"/>
        </w:rPr>
        <w:t xml:space="preserve"> </w:t>
      </w:r>
      <w:proofErr w:type="gramStart"/>
      <w:r w:rsidRPr="00734F69">
        <w:rPr>
          <w:rStyle w:val="StyleUnderline"/>
        </w:rPr>
        <w:t xml:space="preserve">close </w:t>
      </w:r>
      <w:r w:rsidRPr="00734F69">
        <w:rPr>
          <w:rStyle w:val="Emphasis"/>
          <w:highlight w:val="green"/>
        </w:rPr>
        <w:t>proximity</w:t>
      </w:r>
      <w:proofErr w:type="gramEnd"/>
      <w:r w:rsidRPr="00734F69">
        <w:rPr>
          <w:rStyle w:val="Emphasis"/>
          <w:highlight w:val="green"/>
        </w:rPr>
        <w:t xml:space="preserve"> with the</w:t>
      </w:r>
      <w:r w:rsidRPr="00734F69">
        <w:rPr>
          <w:rStyle w:val="Emphasis"/>
        </w:rPr>
        <w:t xml:space="preserve"> disability </w:t>
      </w:r>
      <w:r w:rsidRPr="00734F69">
        <w:rPr>
          <w:rStyle w:val="Emphasis"/>
          <w:highlight w:val="green"/>
        </w:rPr>
        <w:t>drive produces</w:t>
      </w:r>
      <w:r w:rsidRPr="00734F69">
        <w:rPr>
          <w:rStyle w:val="StyleUnderline"/>
        </w:rPr>
        <w:t xml:space="preserve"> states of </w:t>
      </w:r>
      <w:r w:rsidRPr="00734F69">
        <w:rPr>
          <w:rStyle w:val="Emphasis"/>
        </w:rPr>
        <w:t xml:space="preserve">cognitive and affective </w:t>
      </w:r>
      <w:r w:rsidRPr="00734F69">
        <w:rPr>
          <w:rStyle w:val="Emphasis"/>
          <w:highlight w:val="green"/>
        </w:rPr>
        <w:t>uncertainty</w:t>
      </w:r>
      <w:r w:rsidRPr="00734F69">
        <w:rPr>
          <w:rStyle w:val="Emphasis"/>
        </w:rPr>
        <w:t xml:space="preserve">, confusion, </w:t>
      </w:r>
      <w:r w:rsidRPr="00734F69">
        <w:rPr>
          <w:rStyle w:val="Emphasis"/>
          <w:highlight w:val="green"/>
        </w:rPr>
        <w:t>and incapacity</w:t>
      </w:r>
      <w:r w:rsidRPr="00734F69">
        <w:rPr>
          <w:rStyle w:val="StyleUnderline"/>
        </w:rPr>
        <w:t xml:space="preserve"> that are </w:t>
      </w:r>
      <w:r w:rsidRPr="00536174">
        <w:rPr>
          <w:rStyle w:val="Emphasis"/>
        </w:rPr>
        <w:t>akin to disability.</w:t>
      </w:r>
      <w:r w:rsidRPr="00FA4D8A">
        <w:rPr>
          <w:sz w:val="16"/>
        </w:rPr>
        <w:t xml:space="preserve"> In the works that I shall analyze, </w:t>
      </w:r>
      <w:r w:rsidRPr="00734F69">
        <w:rPr>
          <w:rStyle w:val="StyleUnderline"/>
        </w:rPr>
        <w:t>epistemological disablement will often be performed on a textual level</w:t>
      </w:r>
      <w:r w:rsidRPr="00FA4D8A">
        <w:rPr>
          <w:sz w:val="16"/>
        </w:rPr>
        <w:t xml:space="preserve">, as </w:t>
      </w:r>
      <w:r w:rsidRPr="00734F69">
        <w:rPr>
          <w:rStyle w:val="Emphasis"/>
        </w:rPr>
        <w:t>theorists</w:t>
      </w:r>
      <w:r w:rsidRPr="00734F69">
        <w:rPr>
          <w:rStyle w:val="StyleUnderline"/>
        </w:rPr>
        <w:t xml:space="preserve"> and narrators seem to </w:t>
      </w:r>
      <w:r w:rsidRPr="00734F69">
        <w:rPr>
          <w:rStyle w:val="Emphasis"/>
        </w:rPr>
        <w:t>lose control of</w:t>
      </w:r>
      <w:r w:rsidRPr="00734F69">
        <w:rPr>
          <w:rStyle w:val="StyleUnderline"/>
        </w:rPr>
        <w:t xml:space="preserve"> what they want to say about </w:t>
      </w:r>
      <w:r w:rsidRPr="00734F69">
        <w:rPr>
          <w:rStyle w:val="Emphasis"/>
        </w:rPr>
        <w:t xml:space="preserve">disability. </w:t>
      </w:r>
      <w:r w:rsidRPr="00734F69">
        <w:rPr>
          <w:rStyle w:val="Emphasis"/>
          <w:highlight w:val="green"/>
        </w:rPr>
        <w:t>These moments of epistemological disablement are</w:t>
      </w:r>
      <w:r w:rsidRPr="00734F69">
        <w:rPr>
          <w:rStyle w:val="StyleUnderline"/>
        </w:rPr>
        <w:t xml:space="preserve"> often </w:t>
      </w:r>
      <w:r w:rsidRPr="00734F69">
        <w:rPr>
          <w:rStyle w:val="Emphasis"/>
          <w:highlight w:val="green"/>
        </w:rPr>
        <w:t>disavowed by theorists</w:t>
      </w:r>
      <w:r w:rsidRPr="00734F69">
        <w:rPr>
          <w:rStyle w:val="StyleUnderline"/>
        </w:rPr>
        <w:t xml:space="preserve"> and narrators </w:t>
      </w:r>
      <w:r w:rsidRPr="00734F69">
        <w:rPr>
          <w:rStyle w:val="Emphasis"/>
          <w:highlight w:val="green"/>
        </w:rPr>
        <w:t>and</w:t>
      </w:r>
      <w:r w:rsidRPr="00734F69">
        <w:rPr>
          <w:rStyle w:val="StyleUnderline"/>
        </w:rPr>
        <w:t xml:space="preserve"> are instead </w:t>
      </w:r>
      <w:r w:rsidRPr="00734F69">
        <w:rPr>
          <w:rStyle w:val="Emphasis"/>
          <w:highlight w:val="green"/>
        </w:rPr>
        <w:t>projected onto disabled people.</w:t>
      </w:r>
      <w:r w:rsidRPr="00734F69">
        <w:rPr>
          <w:rStyle w:val="StyleUnderline"/>
        </w:rPr>
        <w:t xml:space="preserve"> When this happens, </w:t>
      </w:r>
      <w:r w:rsidRPr="00536174">
        <w:rPr>
          <w:rStyle w:val="Emphasis"/>
          <w:highlight w:val="green"/>
        </w:rPr>
        <w:t>disabled people</w:t>
      </w:r>
      <w:r w:rsidRPr="00734F69">
        <w:rPr>
          <w:rStyle w:val="StyleUnderline"/>
        </w:rPr>
        <w:t xml:space="preserve">’s impairments </w:t>
      </w:r>
      <w:r w:rsidRPr="00536174">
        <w:rPr>
          <w:rStyle w:val="Emphasis"/>
          <w:highlight w:val="green"/>
        </w:rPr>
        <w:t>are depicted as</w:t>
      </w:r>
      <w:r w:rsidRPr="00734F69">
        <w:rPr>
          <w:rStyle w:val="StyleUnderline"/>
        </w:rPr>
        <w:t xml:space="preserve"> the result of </w:t>
      </w:r>
      <w:r w:rsidRPr="00536174">
        <w:rPr>
          <w:rStyle w:val="Emphasis"/>
          <w:highlight w:val="green"/>
        </w:rPr>
        <w:t>an insufficiency of self-knowledge</w:t>
      </w:r>
      <w:r w:rsidRPr="00536174">
        <w:rPr>
          <w:rStyle w:val="Emphasis"/>
        </w:rPr>
        <w:t xml:space="preserve"> that is assumed not to determine nondisabled subjects.</w:t>
      </w:r>
      <w:r w:rsidRPr="00FA4D8A">
        <w:rPr>
          <w:sz w:val="16"/>
        </w:rPr>
        <w:t xml:space="preserve"> I will challenge these characterizations of disabled people not only by arguing for the value of “</w:t>
      </w:r>
      <w:proofErr w:type="spellStart"/>
      <w:r w:rsidRPr="00FA4D8A">
        <w:rPr>
          <w:sz w:val="16"/>
        </w:rPr>
        <w:t>cripistemologies</w:t>
      </w:r>
      <w:proofErr w:type="spellEnd"/>
      <w:r w:rsidRPr="00FA4D8A">
        <w:rPr>
          <w:sz w:val="16"/>
        </w:rPr>
        <w:t xml:space="preserve">” (that is, ways of knowing that arise from disabled people’s lived experiences) but also by using </w:t>
      </w:r>
      <w:r w:rsidRPr="00D42160">
        <w:rPr>
          <w:rStyle w:val="Emphasis"/>
          <w:highlight w:val="green"/>
        </w:rPr>
        <w:t>drive theory</w:t>
      </w:r>
      <w:r w:rsidRPr="00D42160">
        <w:rPr>
          <w:rStyle w:val="StyleUnderline"/>
        </w:rPr>
        <w:t xml:space="preserve"> to </w:t>
      </w:r>
      <w:r w:rsidRPr="00D42160">
        <w:rPr>
          <w:rStyle w:val="Emphasis"/>
          <w:highlight w:val="green"/>
        </w:rPr>
        <w:t>undermine</w:t>
      </w:r>
      <w:r w:rsidRPr="00D42160">
        <w:rPr>
          <w:rStyle w:val="StyleUnderline"/>
        </w:rPr>
        <w:t xml:space="preserve"> belief in </w:t>
      </w:r>
      <w:r w:rsidRPr="00D42160">
        <w:rPr>
          <w:rStyle w:val="Emphasis"/>
          <w:highlight w:val="green"/>
        </w:rPr>
        <w:t>the possibility of a</w:t>
      </w:r>
      <w:r w:rsidRPr="00D42160">
        <w:rPr>
          <w:rStyle w:val="StyleUnderline"/>
        </w:rPr>
        <w:t xml:space="preserve"> transparent and </w:t>
      </w:r>
      <w:r w:rsidRPr="00D42160">
        <w:rPr>
          <w:rStyle w:val="Emphasis"/>
          <w:highlight w:val="green"/>
        </w:rPr>
        <w:t>whol</w:t>
      </w:r>
      <w:r w:rsidRPr="00D42160">
        <w:rPr>
          <w:rStyle w:val="StyleUnderline"/>
        </w:rPr>
        <w:t xml:space="preserve">ly </w:t>
      </w:r>
      <w:r w:rsidRPr="00D42160">
        <w:rPr>
          <w:rStyle w:val="Emphasis"/>
          <w:highlight w:val="green"/>
        </w:rPr>
        <w:t>knowable self</w:t>
      </w:r>
      <w:r w:rsidRPr="00D42160">
        <w:rPr>
          <w:rStyle w:val="StyleUnderline"/>
        </w:rPr>
        <w:t>, whether disabled or nondisabled.</w:t>
      </w:r>
      <w:r w:rsidRPr="00FA4D8A">
        <w:rPr>
          <w:sz w:val="16"/>
        </w:rPr>
        <w:t xml:space="preserve">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 </w:t>
      </w:r>
      <w:r w:rsidRPr="00FA4D8A">
        <w:rPr>
          <w:rStyle w:val="Emphasis"/>
          <w:highlight w:val="green"/>
        </w:rPr>
        <w:t>this</w:t>
      </w:r>
      <w:r w:rsidRPr="00FA4D8A">
        <w:rPr>
          <w:sz w:val="16"/>
        </w:rPr>
        <w:t xml:space="preserve"> dissertation </w:t>
      </w:r>
      <w:r w:rsidRPr="00FA4D8A">
        <w:rPr>
          <w:rStyle w:val="StyleUnderline"/>
        </w:rPr>
        <w:t xml:space="preserve">highlights the </w:t>
      </w:r>
      <w:r w:rsidRPr="00FA4D8A">
        <w:rPr>
          <w:rStyle w:val="Emphasis"/>
          <w:highlight w:val="green"/>
        </w:rPr>
        <w:t>limits</w:t>
      </w:r>
      <w:r w:rsidRPr="00FA4D8A">
        <w:rPr>
          <w:rStyle w:val="StyleUnderline"/>
        </w:rPr>
        <w:t xml:space="preserve"> of </w:t>
      </w:r>
      <w:r w:rsidRPr="00FA4D8A">
        <w:rPr>
          <w:rStyle w:val="Emphasis"/>
          <w:highlight w:val="green"/>
        </w:rPr>
        <w:t>complete self-knowledge</w:t>
      </w:r>
      <w:r w:rsidRPr="00FA4D8A">
        <w:rPr>
          <w:rStyle w:val="StyleUnderline"/>
        </w:rPr>
        <w:t xml:space="preserve"> for nondisabled and disabled subjects alike, </w:t>
      </w:r>
      <w:r w:rsidRPr="00FA4D8A">
        <w:rPr>
          <w:rStyle w:val="Emphasis"/>
          <w:highlight w:val="green"/>
        </w:rPr>
        <w:t>while</w:t>
      </w:r>
      <w:r w:rsidRPr="00FA4D8A">
        <w:rPr>
          <w:rStyle w:val="StyleUnderline"/>
        </w:rPr>
        <w:t xml:space="preserve"> at the same time </w:t>
      </w:r>
      <w:r w:rsidRPr="00FA4D8A">
        <w:rPr>
          <w:rStyle w:val="Emphasis"/>
          <w:highlight w:val="green"/>
        </w:rPr>
        <w:t>interrogating</w:t>
      </w:r>
      <w:r w:rsidRPr="00FA4D8A">
        <w:rPr>
          <w:rStyle w:val="StyleUnderline"/>
        </w:rPr>
        <w:t xml:space="preserve"> the social </w:t>
      </w:r>
      <w:r w:rsidRPr="00FA4D8A">
        <w:rPr>
          <w:rStyle w:val="Emphasis"/>
          <w:highlight w:val="green"/>
        </w:rPr>
        <w:t>dynamics that</w:t>
      </w:r>
      <w:r w:rsidRPr="00FA4D8A">
        <w:rPr>
          <w:rStyle w:val="StyleUnderline"/>
        </w:rPr>
        <w:t xml:space="preserve"> give rise to </w:t>
      </w:r>
      <w:r w:rsidRPr="00FA4D8A">
        <w:rPr>
          <w:rStyle w:val="Emphasis"/>
          <w:highlight w:val="green"/>
        </w:rPr>
        <w:t>imbalance</w:t>
      </w:r>
      <w:r w:rsidRPr="00FA4D8A">
        <w:rPr>
          <w:rStyle w:val="StyleUnderline"/>
        </w:rPr>
        <w:t xml:space="preserve">s in the distribution of </w:t>
      </w:r>
      <w:r w:rsidRPr="00FA4D8A">
        <w:rPr>
          <w:rStyle w:val="Emphasis"/>
          <w:highlight w:val="green"/>
        </w:rPr>
        <w:t>epistemological authority</w:t>
      </w:r>
      <w:r w:rsidRPr="00FA4D8A">
        <w:rPr>
          <w:rStyle w:val="StyleUnderline"/>
        </w:rPr>
        <w:t xml:space="preserve"> to</w:t>
      </w:r>
      <w:r w:rsidRPr="00FA4D8A">
        <w:rPr>
          <w:sz w:val="16"/>
        </w:rPr>
        <w:t xml:space="preserve"> </w:t>
      </w:r>
      <w:proofErr w:type="gramStart"/>
      <w:r w:rsidRPr="00FA4D8A">
        <w:rPr>
          <w:sz w:val="16"/>
        </w:rPr>
        <w:t xml:space="preserve">particular </w:t>
      </w:r>
      <w:r w:rsidRPr="00FA4D8A">
        <w:rPr>
          <w:rStyle w:val="StyleUnderline"/>
        </w:rPr>
        <w:t>subjects</w:t>
      </w:r>
      <w:proofErr w:type="gramEnd"/>
      <w:r w:rsidRPr="00FA4D8A">
        <w:rPr>
          <w:rStyle w:val="StyleUnderline"/>
        </w:rPr>
        <w:t xml:space="preserve"> </w:t>
      </w:r>
      <w:r w:rsidRPr="00FA4D8A">
        <w:rPr>
          <w:rStyle w:val="Emphasis"/>
        </w:rPr>
        <w:t>on the basis of</w:t>
      </w:r>
      <w:r w:rsidRPr="00FA4D8A">
        <w:rPr>
          <w:rStyle w:val="StyleUnderline"/>
        </w:rPr>
        <w:t xml:space="preserve"> their perceived </w:t>
      </w:r>
      <w:r w:rsidRPr="00FA4D8A">
        <w:rPr>
          <w:rStyle w:val="Emphasis"/>
        </w:rPr>
        <w:t>status as disabled</w:t>
      </w:r>
      <w:r w:rsidRPr="00FA4D8A">
        <w:rPr>
          <w:rStyle w:val="StyleUnderline"/>
        </w:rPr>
        <w:t xml:space="preserve"> or nondisabled.</w:t>
      </w:r>
    </w:p>
    <w:p w14:paraId="69A342F3" w14:textId="77777777" w:rsidR="00F67CF4" w:rsidRPr="00A35A28" w:rsidRDefault="00F67CF4" w:rsidP="00F67CF4">
      <w:pPr>
        <w:pStyle w:val="Heading4"/>
        <w:spacing w:line="276" w:lineRule="auto"/>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 Thus, the role of the ballot is </w:t>
      </w:r>
      <w:r w:rsidRPr="00A35A28">
        <w:rPr>
          <w:rFonts w:cs="Calibri"/>
        </w:rPr>
        <w:t>to vote for the debater who best disrupts notions of progress within civil society.</w:t>
      </w:r>
      <w:r>
        <w:rPr>
          <w:rFonts w:cs="Calibri"/>
        </w:rPr>
        <w:t xml:space="preserve"> No going for the advantage – it doesn’t disrupt progress.</w:t>
      </w:r>
    </w:p>
    <w:p w14:paraId="374C4E14" w14:textId="77777777" w:rsidR="00F67CF4" w:rsidRPr="00A35A28" w:rsidRDefault="00F67CF4" w:rsidP="00F67CF4">
      <w:pPr>
        <w:spacing w:line="276" w:lineRule="auto"/>
      </w:pPr>
      <w:r w:rsidRPr="00A35A28">
        <w:rPr>
          <w:rStyle w:val="Style13ptBold"/>
        </w:rPr>
        <w:t xml:space="preserve">Selck </w:t>
      </w:r>
      <w:r>
        <w:rPr>
          <w:rStyle w:val="Style13ptBold"/>
        </w:rPr>
        <w:t>16</w:t>
      </w:r>
      <w:r w:rsidRPr="00A35A28">
        <w:t xml:space="preserve"> </w:t>
      </w:r>
      <w:r w:rsidRPr="00A35A28">
        <w:rPr>
          <w:sz w:val="16"/>
          <w:szCs w:val="16"/>
        </w:rPr>
        <w:t>[Selck, Michael L. "Crip Pessimism: The Language of Dis/ability and the Culture that Isn't." (Jan 2016) // WHSRS and Lex VM]</w:t>
      </w:r>
      <w:r w:rsidRPr="00A35A28">
        <w:t xml:space="preserve"> </w:t>
      </w:r>
    </w:p>
    <w:p w14:paraId="055C1B07" w14:textId="77777777" w:rsidR="00F67CF4" w:rsidRDefault="00F67CF4" w:rsidP="00F67CF4">
      <w:pPr>
        <w:rPr>
          <w:sz w:val="14"/>
        </w:rPr>
      </w:pPr>
      <w:proofErr w:type="gramStart"/>
      <w:r w:rsidRPr="008D1CE8">
        <w:rPr>
          <w:sz w:val="14"/>
        </w:rPr>
        <w:t>Despite the fact that</w:t>
      </w:r>
      <w:proofErr w:type="gramEnd"/>
      <w:r w:rsidRPr="008D1CE8">
        <w:rPr>
          <w:sz w:val="14"/>
        </w:rPr>
        <w:t xml:space="preserve"> a large basis of American culture is founded on ability, </w:t>
      </w:r>
      <w:r w:rsidRPr="00636630">
        <w:rPr>
          <w:rStyle w:val="Emphasis"/>
          <w:highlight w:val="green"/>
        </w:rPr>
        <w:t>dis/ability rarely enters the</w:t>
      </w:r>
      <w:r w:rsidRPr="008D1CE8">
        <w:rPr>
          <w:u w:val="single"/>
        </w:rPr>
        <w:t xml:space="preserve"> dominant public </w:t>
      </w:r>
      <w:r w:rsidRPr="00636630">
        <w:rPr>
          <w:rStyle w:val="Emphasis"/>
          <w:highlight w:val="green"/>
        </w:rPr>
        <w:t>communication sphere. The</w:t>
      </w:r>
      <w:r w:rsidRPr="008D1CE8">
        <w:rPr>
          <w:u w:val="single"/>
        </w:rPr>
        <w:t xml:space="preserve"> unpleasant and visceral </w:t>
      </w:r>
      <w:r w:rsidRPr="008D1CE8">
        <w:rPr>
          <w:highlight w:val="green"/>
          <w:u w:val="single"/>
        </w:rPr>
        <w:t xml:space="preserve">questions that accompany </w:t>
      </w:r>
      <w:r w:rsidRPr="008D1CE8">
        <w:rPr>
          <w:u w:val="single"/>
        </w:rPr>
        <w:t xml:space="preserve">communication about </w:t>
      </w:r>
      <w:r w:rsidRPr="008D1CE8">
        <w:rPr>
          <w:rStyle w:val="Emphasis"/>
          <w:highlight w:val="green"/>
        </w:rPr>
        <w:t>dis/ability have been</w:t>
      </w:r>
      <w:r w:rsidRPr="008D1CE8">
        <w:rPr>
          <w:rStyle w:val="Emphasis"/>
        </w:rPr>
        <w:t xml:space="preserve"> strategically re-zoned and </w:t>
      </w:r>
      <w:r w:rsidRPr="008D1CE8">
        <w:rPr>
          <w:rStyle w:val="Emphasis"/>
          <w:highlight w:val="green"/>
        </w:rPr>
        <w:t>relocated like</w:t>
      </w:r>
      <w:r w:rsidRPr="008D1CE8">
        <w:rPr>
          <w:rStyle w:val="Emphasis"/>
        </w:rPr>
        <w:t xml:space="preserve"> so </w:t>
      </w:r>
      <w:r w:rsidRPr="008D1CE8">
        <w:rPr>
          <w:rStyle w:val="Emphasis"/>
          <w:highlight w:val="green"/>
        </w:rPr>
        <w:t>many</w:t>
      </w:r>
      <w:r w:rsidRPr="008D1CE8">
        <w:rPr>
          <w:rStyle w:val="Emphasis"/>
        </w:rPr>
        <w:t xml:space="preserve"> dis/abled </w:t>
      </w:r>
      <w:r w:rsidRPr="008D1CE8">
        <w:rPr>
          <w:rStyle w:val="Emphasis"/>
          <w:highlight w:val="green"/>
        </w:rPr>
        <w:t>patients</w:t>
      </w:r>
      <w:r w:rsidRPr="008D1CE8">
        <w:rPr>
          <w:u w:val="single"/>
        </w:rPr>
        <w:t>,</w:t>
      </w:r>
      <w:r w:rsidRPr="008D1CE8">
        <w:rPr>
          <w:sz w:val="14"/>
        </w:rPr>
        <w:t xml:space="preserve"> veterans, and transients. Yet, when conversation about dis/ability does seem to permeate the ideological walls of ability the messages are inspirationally distorted and optimistic. My time researching dis/ability in academia found that the conversation there mimicked the exploitive inspirational </w:t>
      </w:r>
      <w:proofErr w:type="spellStart"/>
      <w:r w:rsidRPr="008D1CE8">
        <w:rPr>
          <w:sz w:val="14"/>
        </w:rPr>
        <w:t>humaninterest</w:t>
      </w:r>
      <w:proofErr w:type="spellEnd"/>
      <w:r w:rsidRPr="008D1CE8">
        <w:rPr>
          <w:sz w:val="14"/>
        </w:rPr>
        <w:t xml:space="preserve"> trope found in cinema and journalism. To break the optimistic </w:t>
      </w:r>
      <w:proofErr w:type="gramStart"/>
      <w:r w:rsidRPr="008D1CE8">
        <w:rPr>
          <w:sz w:val="14"/>
        </w:rPr>
        <w:t>silence</w:t>
      </w:r>
      <w:proofErr w:type="gramEnd"/>
      <w:r w:rsidRPr="008D1CE8">
        <w:rPr>
          <w:sz w:val="14"/>
        </w:rPr>
        <w:t xml:space="preserve"> I set out with a performance art piece titled Under The Mantle to advance a theme of </w:t>
      </w:r>
      <w:proofErr w:type="spellStart"/>
      <w:r w:rsidRPr="008D1CE8">
        <w:rPr>
          <w:sz w:val="14"/>
        </w:rPr>
        <w:t>crip</w:t>
      </w:r>
      <w:proofErr w:type="spellEnd"/>
      <w:r w:rsidRPr="008D1CE8">
        <w:rPr>
          <w:sz w:val="14"/>
        </w:rPr>
        <w:t xml:space="preserve">-pessimism,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w:t>
      </w:r>
      <w:proofErr w:type="gramStart"/>
      <w:r w:rsidRPr="008D1CE8">
        <w:rPr>
          <w:sz w:val="14"/>
        </w:rPr>
        <w:t>hone in on</w:t>
      </w:r>
      <w:proofErr w:type="gramEnd"/>
      <w:r w:rsidRPr="008D1CE8">
        <w:rPr>
          <w:sz w:val="14"/>
        </w:rPr>
        <w:t xml:space="preserve"> three explicit arguments that augment traditional thinking about dis/ability and communication. The trouble I encountered with dis/ability research in communication studies has to do with the way American culture understands offensive communication. </w:t>
      </w:r>
      <w:r w:rsidRPr="00636630">
        <w:rPr>
          <w:rStyle w:val="Emphasis"/>
          <w:highlight w:val="green"/>
        </w:rPr>
        <w:t>Political correctness as</w:t>
      </w:r>
      <w:r w:rsidRPr="00636630">
        <w:rPr>
          <w:rStyle w:val="Emphasis"/>
        </w:rPr>
        <w:t xml:space="preserve"> a disciplining </w:t>
      </w:r>
      <w:r w:rsidRPr="00636630">
        <w:rPr>
          <w:rStyle w:val="Emphasis"/>
          <w:highlight w:val="green"/>
        </w:rPr>
        <w:t>communication</w:t>
      </w:r>
      <w:r w:rsidRPr="008D1CE8">
        <w:rPr>
          <w:u w:val="single"/>
        </w:rPr>
        <w:t xml:space="preserve"> concept dictates what terms are socially acceptable at a given time. Political correctness </w:t>
      </w:r>
      <w:r w:rsidRPr="00636630">
        <w:rPr>
          <w:rStyle w:val="Emphasis"/>
          <w:highlight w:val="green"/>
        </w:rPr>
        <w:t>underscores how</w:t>
      </w:r>
      <w:r w:rsidRPr="008D1CE8">
        <w:rPr>
          <w:sz w:val="14"/>
        </w:rPr>
        <w:t xml:space="preserve"> many communication studies </w:t>
      </w:r>
      <w:r w:rsidRPr="00636630">
        <w:rPr>
          <w:rStyle w:val="Emphasis"/>
          <w:highlight w:val="green"/>
        </w:rPr>
        <w:t>programs operate</w:t>
      </w:r>
      <w:r w:rsidRPr="008D1CE8">
        <w:rPr>
          <w:sz w:val="14"/>
        </w:rPr>
        <w:t xml:space="preserve"> within the rubric of conflict (</w:t>
      </w:r>
      <w:proofErr w:type="spellStart"/>
      <w:r w:rsidRPr="008D1CE8">
        <w:rPr>
          <w:sz w:val="14"/>
        </w:rPr>
        <w:t>Wilderson</w:t>
      </w:r>
      <w:proofErr w:type="spellEnd"/>
      <w:r w:rsidRPr="008D1CE8">
        <w:rPr>
          <w:sz w:val="14"/>
        </w:rPr>
        <w:t xml:space="preserve">, 2010). </w:t>
      </w:r>
      <w:r w:rsidRPr="008D1CE8">
        <w:rPr>
          <w:u w:val="single"/>
        </w:rPr>
        <w:t xml:space="preserve">The thinking that suggests simply avoiding offensive terms will diminish oppression is within the rubric of conflict because it </w:t>
      </w:r>
      <w:r w:rsidRPr="008D1CE8">
        <w:rPr>
          <w:rStyle w:val="Emphasis"/>
          <w:highlight w:val="green"/>
        </w:rPr>
        <w:t>understands the oppression as materially reconcilable</w:t>
      </w:r>
      <w:r w:rsidRPr="008D1CE8">
        <w:rPr>
          <w:sz w:val="14"/>
        </w:rPr>
        <w:t xml:space="preserve">. What </w:t>
      </w:r>
      <w:proofErr w:type="spellStart"/>
      <w:r w:rsidRPr="008D1CE8">
        <w:rPr>
          <w:sz w:val="14"/>
        </w:rPr>
        <w:t>crippessimism</w:t>
      </w:r>
      <w:proofErr w:type="spellEnd"/>
      <w:r w:rsidRPr="008D1CE8">
        <w:rPr>
          <w:sz w:val="14"/>
        </w:rPr>
        <w:t xml:space="preserve"> does, and what UTM performed, is skepticism that speaking inspirationally and avoiding speaking offensively about dis/ability would end disablism. </w:t>
      </w:r>
      <w:proofErr w:type="gramStart"/>
      <w:r w:rsidRPr="008D1CE8">
        <w:rPr>
          <w:sz w:val="14"/>
        </w:rPr>
        <w:t>Instead</w:t>
      </w:r>
      <w:proofErr w:type="gramEnd"/>
      <w:r w:rsidRPr="008D1CE8">
        <w:rPr>
          <w:sz w:val="14"/>
        </w:rPr>
        <w:t xml:space="preserve"> I argued that what </w:t>
      </w:r>
      <w:r w:rsidRPr="00636630">
        <w:rPr>
          <w:rStyle w:val="Emphasis"/>
          <w:highlight w:val="green"/>
        </w:rPr>
        <w:t>dis/ability</w:t>
      </w:r>
      <w:r w:rsidRPr="00636630">
        <w:rPr>
          <w:rStyle w:val="Emphasis"/>
        </w:rPr>
        <w:t xml:space="preserve"> represents </w:t>
      </w:r>
      <w:r w:rsidRPr="00636630">
        <w:rPr>
          <w:rStyle w:val="Emphasis"/>
          <w:highlight w:val="green"/>
        </w:rPr>
        <w:t>is an antagonism</w:t>
      </w:r>
      <w:r w:rsidRPr="008D1CE8">
        <w:rPr>
          <w:u w:val="single"/>
        </w:rPr>
        <w:t xml:space="preserve">, it is an oppression so much more foundational to the core of American values that </w:t>
      </w:r>
      <w:r w:rsidRPr="00636630">
        <w:rPr>
          <w:rStyle w:val="Emphasis"/>
          <w:highlight w:val="green"/>
        </w:rPr>
        <w:t>linguistic reforms would not</w:t>
      </w:r>
      <w:r w:rsidRPr="008D1CE8">
        <w:rPr>
          <w:rStyle w:val="StyleUnderline"/>
        </w:rPr>
        <w:t xml:space="preserve"> even </w:t>
      </w:r>
      <w:r w:rsidRPr="00636630">
        <w:rPr>
          <w:rStyle w:val="Emphasis"/>
          <w:highlight w:val="green"/>
        </w:rPr>
        <w:t>scratch the surface</w:t>
      </w:r>
      <w:r w:rsidRPr="008D1CE8">
        <w:rPr>
          <w:u w:val="single"/>
        </w:rPr>
        <w:t>.</w:t>
      </w:r>
      <w:r w:rsidRPr="008D1CE8">
        <w:rPr>
          <w:sz w:val="14"/>
        </w:rPr>
        <w:t xml:space="preserve"> The significance of antagonism is that it raises the stakes of dis/ability research. The end goal of research should not be to service the meta-theoretical assumptions of the paradigm (Kuhn, 1962), because consequently the researcher never stops to ask if the assumptions of the paradigm are ethical, valid, or effective. </w:t>
      </w:r>
      <w:proofErr w:type="spellStart"/>
      <w:r w:rsidRPr="008D1CE8">
        <w:rPr>
          <w:sz w:val="14"/>
        </w:rPr>
        <w:t>Crippessimism</w:t>
      </w:r>
      <w:proofErr w:type="spellEnd"/>
      <w:r w:rsidRPr="008D1CE8">
        <w:rPr>
          <w:sz w:val="14"/>
        </w:rPr>
        <w:t xml:space="preserve"> is a call for some demolition and redistribution of communicative identity paradigms. If the radical promise of our theories is nothing more than a call for social </w:t>
      </w:r>
      <w:proofErr w:type="gramStart"/>
      <w:r w:rsidRPr="008D1CE8">
        <w:rPr>
          <w:sz w:val="14"/>
        </w:rPr>
        <w:t>stability</w:t>
      </w:r>
      <w:proofErr w:type="gramEnd"/>
      <w:r w:rsidRPr="008D1CE8">
        <w:rPr>
          <w:sz w:val="14"/>
        </w:rPr>
        <w:t xml:space="preserve"> then they are complicit in the neoliberal eugenic project. We need to theorize so that there is nothing already ‘given’ or taken for granted. Often in those moments, like the moments of so many textbooks, the underlying optimism goes completely unquestioned. Crip-pessimism as a theme is characterized by negotiating debates surrounding the efficacy of identity politics. Arguments that fit within the theme ask why the disabled should abandon their bodies in the political sphere. </w:t>
      </w:r>
      <w:r w:rsidRPr="008D1CE8">
        <w:rPr>
          <w:rStyle w:val="Emphasis"/>
          <w:highlight w:val="green"/>
        </w:rPr>
        <w:t>Social death has</w:t>
      </w:r>
      <w:r w:rsidRPr="008D1CE8">
        <w:rPr>
          <w:rStyle w:val="Emphasis"/>
        </w:rPr>
        <w:t xml:space="preserve"> already </w:t>
      </w:r>
      <w:r w:rsidRPr="008D1CE8">
        <w:rPr>
          <w:rStyle w:val="Emphasis"/>
          <w:highlight w:val="green"/>
        </w:rPr>
        <w:t>occurred</w:t>
      </w:r>
      <w:r w:rsidRPr="008D1CE8">
        <w:rPr>
          <w:u w:val="single"/>
        </w:rPr>
        <w:t xml:space="preserve">, the dis/abled are being rendered culturally unintelligible and physically fungible. </w:t>
      </w:r>
      <w:proofErr w:type="gramStart"/>
      <w:r w:rsidRPr="008D1CE8">
        <w:rPr>
          <w:u w:val="single"/>
        </w:rPr>
        <w:t>So</w:t>
      </w:r>
      <w:proofErr w:type="gramEnd"/>
      <w:r w:rsidRPr="008D1CE8">
        <w:rPr>
          <w:u w:val="single"/>
        </w:rPr>
        <w:t xml:space="preserve"> what </w:t>
      </w:r>
      <w:r w:rsidRPr="00636630">
        <w:rPr>
          <w:rStyle w:val="Emphasis"/>
          <w:highlight w:val="green"/>
        </w:rPr>
        <w:t>we need</w:t>
      </w:r>
      <w:r w:rsidRPr="008D1CE8">
        <w:rPr>
          <w:u w:val="single"/>
        </w:rPr>
        <w:t xml:space="preserve"> when we are having </w:t>
      </w:r>
      <w:r w:rsidRPr="00636630">
        <w:rPr>
          <w:rStyle w:val="Emphasis"/>
          <w:highlight w:val="green"/>
        </w:rPr>
        <w:t>discussions about how to</w:t>
      </w:r>
      <w:r w:rsidRPr="008D1CE8">
        <w:rPr>
          <w:u w:val="single"/>
        </w:rPr>
        <w:t xml:space="preserve"> progress is a theory that </w:t>
      </w:r>
      <w:r w:rsidRPr="00636630">
        <w:rPr>
          <w:rStyle w:val="Emphasis"/>
          <w:highlight w:val="green"/>
        </w:rPr>
        <w:t>break</w:t>
      </w:r>
      <w:r w:rsidRPr="008D1CE8">
        <w:rPr>
          <w:u w:val="single"/>
        </w:rPr>
        <w:t xml:space="preserve">s </w:t>
      </w:r>
      <w:r w:rsidRPr="00636630">
        <w:rPr>
          <w:rStyle w:val="Emphasis"/>
          <w:highlight w:val="green"/>
        </w:rPr>
        <w:t>down</w:t>
      </w:r>
      <w:r w:rsidRPr="008D1CE8">
        <w:rPr>
          <w:u w:val="single"/>
        </w:rPr>
        <w:t xml:space="preserve"> the notion of </w:t>
      </w:r>
      <w:r w:rsidRPr="00636630">
        <w:rPr>
          <w:rStyle w:val="Emphasis"/>
          <w:highlight w:val="green"/>
        </w:rPr>
        <w:t>progress</w:t>
      </w:r>
      <w:r w:rsidRPr="00636630">
        <w:rPr>
          <w:rStyle w:val="Emphasis"/>
        </w:rPr>
        <w:t>.</w:t>
      </w:r>
      <w:r w:rsidRPr="008D1CE8">
        <w:rPr>
          <w:sz w:val="14"/>
        </w:rPr>
        <w:t xml:space="preserve"> The recognition and need for a theory like this </w:t>
      </w:r>
      <w:proofErr w:type="gramStart"/>
      <w:r w:rsidRPr="008D1CE8">
        <w:rPr>
          <w:sz w:val="14"/>
        </w:rPr>
        <w:t>comes</w:t>
      </w:r>
      <w:proofErr w:type="gramEnd"/>
      <w:r w:rsidRPr="008D1CE8">
        <w:rPr>
          <w:sz w:val="14"/>
        </w:rPr>
        <w:t xml:space="preserve"> about when we ask central dis/ability questions like: </w:t>
      </w:r>
      <w:r w:rsidRPr="008D1CE8">
        <w:rPr>
          <w:u w:val="single"/>
        </w:rPr>
        <w:t>‘</w:t>
      </w:r>
      <w:r w:rsidRPr="008D1CE8">
        <w:rPr>
          <w:rStyle w:val="StyleUnderline"/>
        </w:rPr>
        <w:t>when did eugenics end?’</w:t>
      </w:r>
      <w:r w:rsidRPr="008D1CE8">
        <w:rPr>
          <w:u w:val="single"/>
        </w:rPr>
        <w:t xml:space="preserve"> and ‘</w:t>
      </w:r>
      <w:r w:rsidRPr="008D1CE8">
        <w:rPr>
          <w:rStyle w:val="StyleUnderline"/>
        </w:rPr>
        <w:t>where is disability in U.S. society before and after the passage of the Americans with Disabilities Act?’</w:t>
      </w:r>
      <w:r w:rsidRPr="008D1CE8">
        <w:rPr>
          <w:u w:val="single"/>
        </w:rPr>
        <w:t xml:space="preserve"> and ‘globally has the Convention on the Rights of Persons with Disabilities reconciled the antagonism of disablism?’. </w:t>
      </w:r>
      <w:r w:rsidRPr="008D1CE8">
        <w:rPr>
          <w:rStyle w:val="Emphasis"/>
        </w:rPr>
        <w:t>These are the questions that I want to end on</w:t>
      </w:r>
      <w:r w:rsidRPr="008D1CE8">
        <w:rPr>
          <w:sz w:val="14"/>
        </w:rPr>
        <w:t xml:space="preserve"> and encourage communication and dis/ability scholars alike to take up. As scholars and mass media engines continue to project dis/ability within the rubric of conflict our collective reliance on capitalism and neoliberalism </w:t>
      </w:r>
      <w:proofErr w:type="gramStart"/>
      <w:r w:rsidRPr="008D1CE8">
        <w:rPr>
          <w:sz w:val="14"/>
        </w:rPr>
        <w:t>grow</w:t>
      </w:r>
      <w:proofErr w:type="gramEnd"/>
      <w:r w:rsidRPr="008D1CE8">
        <w:rPr>
          <w:sz w:val="14"/>
        </w:rPr>
        <w:t xml:space="preserve"> deeper. It is my hope at the end of this project that my voice both in performing and in writing encourages more scholarship detailing the omnipresence of disablism in American culture. Under The Mantle is a reminder to me that all representations of dis/ability have consequences and in many cases all we need to witness those consequences is a slight perspectival shift.</w:t>
      </w:r>
    </w:p>
    <w:p w14:paraId="39859324" w14:textId="77777777" w:rsidR="00F67CF4" w:rsidRPr="00B34F2E" w:rsidRDefault="00F67CF4" w:rsidP="00F67CF4">
      <w:pPr>
        <w:pStyle w:val="Heading4"/>
      </w:pPr>
      <w:r w:rsidRPr="00B34F2E">
        <w:t xml:space="preserve">The disability drive is not about stable conceptions of disability or identity politics </w:t>
      </w:r>
      <w:r>
        <w:t xml:space="preserve">– </w:t>
      </w:r>
      <w:r w:rsidRPr="00B34F2E">
        <w:t xml:space="preserve">we </w:t>
      </w:r>
      <w:r>
        <w:t xml:space="preserve">instead </w:t>
      </w:r>
      <w:r w:rsidRPr="00B34F2E">
        <w:t xml:space="preserve">theorize about suffering and lack as a disabling and psychic force that structures the subject and explains myriad forms </w:t>
      </w:r>
      <w:r>
        <w:t>of</w:t>
      </w:r>
      <w:r w:rsidRPr="00B34F2E">
        <w:t xml:space="preserve"> exclusion</w:t>
      </w:r>
      <w:r>
        <w:t>.</w:t>
      </w:r>
    </w:p>
    <w:p w14:paraId="546A9D60" w14:textId="77777777" w:rsidR="00F67CF4" w:rsidRPr="00A92802" w:rsidRDefault="00F67CF4" w:rsidP="00F67CF4">
      <w:r w:rsidRPr="00A92802">
        <w:rPr>
          <w:rStyle w:val="Style13ptBold"/>
        </w:rPr>
        <w:t xml:space="preserve">Mollow </w:t>
      </w:r>
      <w:r>
        <w:rPr>
          <w:rStyle w:val="Style13ptBold"/>
        </w:rPr>
        <w:t>5</w:t>
      </w:r>
      <w:r w:rsidRPr="00A92802">
        <w:rPr>
          <w:sz w:val="16"/>
          <w:szCs w:val="1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192448CA" w14:textId="77777777" w:rsidR="00F67CF4" w:rsidRPr="00866896" w:rsidRDefault="00F67CF4" w:rsidP="00F67CF4">
      <w:pPr>
        <w:rPr>
          <w:sz w:val="16"/>
        </w:rPr>
      </w:pPr>
      <w:r w:rsidRPr="000B0FBF">
        <w:rPr>
          <w:rStyle w:val="Emphasis"/>
        </w:rPr>
        <w:t xml:space="preserve">Seeking </w:t>
      </w:r>
      <w:r w:rsidRPr="000B0FBF">
        <w:rPr>
          <w:rStyle w:val="Emphasis"/>
          <w:highlight w:val="green"/>
        </w:rPr>
        <w:t>to destabilize the disabled-nondisabled binary</w:t>
      </w:r>
      <w:r w:rsidRPr="000B0FBF">
        <w:rPr>
          <w:rStyle w:val="StyleUnderline"/>
          <w:highlight w:val="green"/>
        </w:rPr>
        <w:t xml:space="preserve">, </w:t>
      </w:r>
      <w:r w:rsidRPr="000B0FBF">
        <w:rPr>
          <w:rStyle w:val="Emphasis"/>
          <w:highlight w:val="green"/>
        </w:rPr>
        <w:t xml:space="preserve">this </w:t>
      </w:r>
      <w:r w:rsidRPr="00866896">
        <w:rPr>
          <w:rStyle w:val="Emphasis"/>
          <w:highlight w:val="green"/>
        </w:rPr>
        <w:t>thesis</w:t>
      </w:r>
      <w:r w:rsidRPr="00866896">
        <w:rPr>
          <w:rStyle w:val="StyleUnderline"/>
          <w:highlight w:val="green"/>
        </w:rPr>
        <w:t xml:space="preserve"> </w:t>
      </w:r>
      <w:r w:rsidRPr="00866896">
        <w:rPr>
          <w:rStyle w:val="Emphasis"/>
          <w:highlight w:val="green"/>
        </w:rPr>
        <w:t>em</w:t>
      </w:r>
      <w:r w:rsidRPr="000B0FBF">
        <w:rPr>
          <w:rStyle w:val="Emphasis"/>
          <w:highlight w:val="green"/>
        </w:rPr>
        <w:t>ploys</w:t>
      </w:r>
      <w:r w:rsidRPr="000B0FBF">
        <w:rPr>
          <w:rStyle w:val="StyleUnderline"/>
        </w:rPr>
        <w:t xml:space="preserve"> the term </w:t>
      </w:r>
      <w:r w:rsidRPr="000B0FBF">
        <w:rPr>
          <w:rStyle w:val="Emphasis"/>
          <w:highlight w:val="green"/>
        </w:rPr>
        <w:t>“disability”</w:t>
      </w:r>
      <w:r w:rsidRPr="007369C9">
        <w:rPr>
          <w:rStyle w:val="Emphasis"/>
        </w:rPr>
        <w:t xml:space="preserve"> in expansive and </w:t>
      </w:r>
      <w:r w:rsidRPr="000B0FBF">
        <w:rPr>
          <w:rStyle w:val="Emphasis"/>
          <w:highlight w:val="green"/>
        </w:rPr>
        <w:t>open-ended ways</w:t>
      </w:r>
      <w:r w:rsidRPr="00A60C1F">
        <w:rPr>
          <w:sz w:val="16"/>
        </w:rPr>
        <w:t xml:space="preserve">: the texts that </w:t>
      </w:r>
      <w:r w:rsidRPr="00A60C1F">
        <w:rPr>
          <w:rStyle w:val="Emphasis"/>
          <w:highlight w:val="green"/>
        </w:rPr>
        <w:t>we</w:t>
      </w:r>
      <w:r w:rsidRPr="00A60C1F">
        <w:rPr>
          <w:rStyle w:val="StyleUnderline"/>
        </w:rPr>
        <w:t xml:space="preserve"> will </w:t>
      </w:r>
      <w:r w:rsidRPr="00A60C1F">
        <w:rPr>
          <w:rStyle w:val="Emphasis"/>
          <w:highlight w:val="green"/>
        </w:rPr>
        <w:t>examine</w:t>
      </w:r>
      <w:r w:rsidRPr="00A60C1F">
        <w:rPr>
          <w:rStyle w:val="StyleUnderline"/>
        </w:rPr>
        <w:t xml:space="preserve"> thematize bodily suffering, emotional distress, and </w:t>
      </w:r>
      <w:r w:rsidRPr="00A60C1F">
        <w:rPr>
          <w:rStyle w:val="Emphasis"/>
          <w:highlight w:val="green"/>
        </w:rPr>
        <w:t>loss of</w:t>
      </w:r>
      <w:r w:rsidRPr="00A60C1F">
        <w:rPr>
          <w:rStyle w:val="Emphasis"/>
        </w:rPr>
        <w:t xml:space="preserve"> physical and mental </w:t>
      </w:r>
      <w:r w:rsidRPr="00A60C1F">
        <w:rPr>
          <w:rStyle w:val="Emphasis"/>
          <w:highlight w:val="green"/>
        </w:rPr>
        <w:t>capability without</w:t>
      </w:r>
      <w:r w:rsidRPr="00A60C1F">
        <w:rPr>
          <w:rStyle w:val="StyleUnderline"/>
        </w:rPr>
        <w:t xml:space="preserve"> always </w:t>
      </w:r>
      <w:r w:rsidRPr="00A60C1F">
        <w:rPr>
          <w:rStyle w:val="Emphasis"/>
          <w:highlight w:val="green"/>
        </w:rPr>
        <w:t>using “disability” as the sign for</w:t>
      </w:r>
      <w:r w:rsidRPr="00A60C1F">
        <w:rPr>
          <w:rStyle w:val="StyleUnderline"/>
        </w:rPr>
        <w:t xml:space="preserve"> discrete </w:t>
      </w:r>
      <w:r w:rsidRPr="00A60C1F">
        <w:rPr>
          <w:rStyle w:val="Emphasis"/>
          <w:highlight w:val="green"/>
        </w:rPr>
        <w:t>diagnostic or identity categories.</w:t>
      </w:r>
      <w:r w:rsidRPr="00A60C1F">
        <w:rPr>
          <w:sz w:val="16"/>
        </w:rPr>
        <w:t xml:space="preserve"> In this regard, my approach accords with the ways that </w:t>
      </w:r>
      <w:r w:rsidRPr="00866896">
        <w:rPr>
          <w:rStyle w:val="Emphasis"/>
          <w:highlight w:val="green"/>
        </w:rPr>
        <w:t>the drive</w:t>
      </w:r>
      <w:r w:rsidRPr="00A60C1F">
        <w:rPr>
          <w:rStyle w:val="Emphasis"/>
        </w:rPr>
        <w:t xml:space="preserve"> continually </w:t>
      </w:r>
      <w:r w:rsidRPr="00866896">
        <w:rPr>
          <w:rStyle w:val="Emphasis"/>
          <w:highlight w:val="green"/>
        </w:rPr>
        <w:t>upsets stable conceptions of identities.</w:t>
      </w:r>
      <w:r w:rsidRPr="00A60C1F">
        <w:rPr>
          <w:sz w:val="16"/>
        </w:rPr>
        <w:t xml:space="preserve"> However, in figuring </w:t>
      </w:r>
      <w:r w:rsidRPr="00A60C1F">
        <w:rPr>
          <w:rStyle w:val="Emphasis"/>
        </w:rPr>
        <w:t>the drive</w:t>
      </w:r>
      <w:r w:rsidRPr="00A60C1F">
        <w:rPr>
          <w:rStyle w:val="StyleUnderline"/>
        </w:rPr>
        <w:t xml:space="preserve"> </w:t>
      </w:r>
      <w:r w:rsidRPr="00866896">
        <w:rPr>
          <w:rStyle w:val="Emphasis"/>
          <w:highlight w:val="green"/>
        </w:rPr>
        <w:t>as a</w:t>
      </w:r>
      <w:r w:rsidRPr="00A60C1F">
        <w:rPr>
          <w:rStyle w:val="StyleUnderline"/>
        </w:rPr>
        <w:t xml:space="preserve"> </w:t>
      </w:r>
      <w:r w:rsidRPr="00866896">
        <w:rPr>
          <w:rStyle w:val="Emphasis"/>
          <w:highlight w:val="green"/>
        </w:rPr>
        <w:t>force that shapes</w:t>
      </w:r>
      <w:r w:rsidRPr="00A60C1F">
        <w:rPr>
          <w:rStyle w:val="StyleUnderline"/>
        </w:rPr>
        <w:t xml:space="preserve"> the lives of </w:t>
      </w:r>
      <w:r w:rsidRPr="00866896">
        <w:rPr>
          <w:rStyle w:val="Emphasis"/>
          <w:highlight w:val="green"/>
        </w:rPr>
        <w:t>disabled and nondisabled subjects alike</w:t>
      </w:r>
      <w:r w:rsidRPr="00A60C1F">
        <w:rPr>
          <w:sz w:val="16"/>
        </w:rPr>
        <w:t xml:space="preserve">, </w:t>
      </w:r>
      <w:r w:rsidRPr="00A60C1F">
        <w:rPr>
          <w:rStyle w:val="StyleUnderline"/>
        </w:rPr>
        <w:t>I do not suggest that differences between disabled and nondisabled identities do not matter.</w:t>
      </w:r>
      <w:r w:rsidRPr="00A60C1F">
        <w:rPr>
          <w:sz w:val="16"/>
        </w:rPr>
        <w:t xml:space="preserve"> As disability scholars such as Carol Gill, Simi Linton, and Robert </w:t>
      </w:r>
      <w:proofErr w:type="spellStart"/>
      <w:r w:rsidRPr="00A60C1F">
        <w:rPr>
          <w:sz w:val="16"/>
        </w:rPr>
        <w:t>McRuer</w:t>
      </w:r>
      <w:proofErr w:type="spellEnd"/>
      <w:r w:rsidRPr="00A60C1F">
        <w:rPr>
          <w:sz w:val="16"/>
        </w:rPr>
        <w:t xml:space="preserve"> have pointed out, the assertion that “we are all disabled in some way” erases profound differences between the social realities faced, respectively, by disabled and nondisabled people (Gill 46; Linton 12-13; </w:t>
      </w:r>
      <w:proofErr w:type="spellStart"/>
      <w:r w:rsidRPr="00A60C1F">
        <w:rPr>
          <w:sz w:val="16"/>
        </w:rPr>
        <w:t>McRuer</w:t>
      </w:r>
      <w:proofErr w:type="spellEnd"/>
      <w:r w:rsidRPr="00A60C1F">
        <w:rPr>
          <w:sz w:val="16"/>
        </w:rPr>
        <w:t xml:space="preserve">, Crip 157). As </w:t>
      </w:r>
      <w:proofErr w:type="spellStart"/>
      <w:r w:rsidRPr="00A60C1F">
        <w:rPr>
          <w:sz w:val="16"/>
        </w:rPr>
        <w:t>McRuer</w:t>
      </w:r>
      <w:proofErr w:type="spellEnd"/>
      <w:r w:rsidRPr="00A60C1F">
        <w:rPr>
          <w:sz w:val="16"/>
        </w:rPr>
        <w:t xml:space="preserve"> puts it, the question “Aren’t we all queer/disabled?” is a strategy of political “containment”: “an able-bodied/heterosexual society doesn’t have to take seriously disabled/queer claims to rights and recognition if it can diffuse or universalize what activists and scholars are saying as really nothing new and as really about all of us” (157). Following </w:t>
      </w:r>
      <w:proofErr w:type="spellStart"/>
      <w:r w:rsidRPr="00A60C1F">
        <w:rPr>
          <w:sz w:val="16"/>
        </w:rPr>
        <w:t>McRuer</w:t>
      </w:r>
      <w:proofErr w:type="spellEnd"/>
      <w:r w:rsidRPr="00A60C1F">
        <w:rPr>
          <w:sz w:val="16"/>
        </w:rPr>
        <w:t>, who affirms a wish to “resist that containment” but nevertheless argues that “</w:t>
      </w:r>
      <w:r w:rsidRPr="00813C96">
        <w:rPr>
          <w:rStyle w:val="Emphasis"/>
          <w:highlight w:val="green"/>
        </w:rPr>
        <w:t>there are moments when we are a</w:t>
      </w:r>
      <w:r w:rsidRPr="00B34F2E">
        <w:rPr>
          <w:rStyle w:val="Emphasis"/>
          <w:highlight w:val="green"/>
        </w:rPr>
        <w:t>ll</w:t>
      </w:r>
      <w:r w:rsidRPr="00A60C1F">
        <w:rPr>
          <w:rStyle w:val="StyleUnderline"/>
        </w:rPr>
        <w:t xml:space="preserve"> queer/</w:t>
      </w:r>
      <w:r w:rsidRPr="00B34F2E">
        <w:rPr>
          <w:rStyle w:val="Emphasis"/>
          <w:highlight w:val="green"/>
        </w:rPr>
        <w:t>disabled</w:t>
      </w:r>
      <w:r w:rsidRPr="00A60C1F">
        <w:rPr>
          <w:rStyle w:val="StyleUnderline"/>
        </w:rPr>
        <w:t xml:space="preserve">,” I utilize the concept of </w:t>
      </w:r>
      <w:r w:rsidRPr="00B34F2E">
        <w:rPr>
          <w:rStyle w:val="Emphasis"/>
        </w:rPr>
        <w:t>the disability drive</w:t>
      </w:r>
      <w:r w:rsidRPr="00A60C1F">
        <w:rPr>
          <w:rStyle w:val="StyleUnderline"/>
        </w:rPr>
        <w:t xml:space="preserve"> to </w:t>
      </w:r>
      <w:r w:rsidRPr="00B34F2E">
        <w:rPr>
          <w:rStyle w:val="Emphasis"/>
        </w:rPr>
        <w:t>bring those moments into view</w:t>
      </w:r>
      <w:r w:rsidRPr="00A60C1F">
        <w:rPr>
          <w:sz w:val="16"/>
        </w:rPr>
        <w:t xml:space="preserve"> (157).</w:t>
      </w:r>
    </w:p>
    <w:p w14:paraId="6BCD1030" w14:textId="200929DA" w:rsidR="00E42E4C" w:rsidRDefault="00E42E4C" w:rsidP="00F601E6"/>
    <w:p w14:paraId="1A975A14" w14:textId="66B0DA48" w:rsidR="00F67CF4" w:rsidRDefault="00F67CF4" w:rsidP="00F67CF4">
      <w:pPr>
        <w:pStyle w:val="Heading1"/>
      </w:pPr>
      <w:r>
        <w:t>Accessibility</w:t>
      </w:r>
    </w:p>
    <w:p w14:paraId="29B2E9C7" w14:textId="781A0838" w:rsidR="00F67CF4" w:rsidRDefault="00F67CF4" w:rsidP="00F67CF4">
      <w:pPr>
        <w:pStyle w:val="Heading2"/>
      </w:pPr>
      <w:r>
        <w:t>1</w:t>
      </w:r>
    </w:p>
    <w:p w14:paraId="19BA571D" w14:textId="28DA5562" w:rsidR="00F67CF4" w:rsidRDefault="00F67CF4" w:rsidP="00F67CF4">
      <w:pPr>
        <w:pStyle w:val="Heading3"/>
      </w:pPr>
      <w:r>
        <w:t>K</w:t>
      </w:r>
    </w:p>
    <w:p w14:paraId="2C6017B3" w14:textId="77777777" w:rsidR="00F67CF4" w:rsidRPr="009802CC" w:rsidRDefault="00F67CF4" w:rsidP="00F67CF4">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5B0A46EC" w14:textId="777D13D6" w:rsidR="00F67CF4" w:rsidRDefault="00F67CF4" w:rsidP="00F67CF4">
      <w:pPr>
        <w:rPr>
          <w:rStyle w:val="Style13ptBold"/>
        </w:rPr>
      </w:pPr>
      <w:r w:rsidRPr="009802CC">
        <w:rPr>
          <w:rStyle w:val="Style13ptBold"/>
        </w:rPr>
        <w:t>Mollow 15</w:t>
      </w:r>
    </w:p>
    <w:p w14:paraId="722281D3" w14:textId="4B79AAD3" w:rsidR="00F67CF4" w:rsidRDefault="00F67CF4" w:rsidP="00F67CF4">
      <w:r>
        <w:t>pity involves a</w:t>
      </w:r>
      <w:r>
        <w:t xml:space="preserve"> </w:t>
      </w:r>
      <w:r>
        <w:t>reaction to the</w:t>
      </w:r>
      <w:r>
        <w:t xml:space="preserve"> </w:t>
      </w:r>
      <w:r>
        <w:t>“tragedy of disability.”</w:t>
      </w:r>
      <w:r>
        <w:t xml:space="preserve"> </w:t>
      </w:r>
      <w:r>
        <w:t>Primary pity is</w:t>
      </w:r>
      <w:r>
        <w:t xml:space="preserve"> </w:t>
      </w:r>
      <w:r>
        <w:t>unbearable</w:t>
      </w:r>
      <w:r>
        <w:t xml:space="preserve"> </w:t>
      </w:r>
      <w:r>
        <w:t>to contemplate another person’s suffering is to</w:t>
      </w:r>
      <w:r>
        <w:t xml:space="preserve"> </w:t>
      </w:r>
      <w:r>
        <w:t>question, “Could this happen to me?”</w:t>
      </w:r>
      <w:r>
        <w:t xml:space="preserve"> </w:t>
      </w:r>
      <w:r>
        <w:t>Secondary pity attempts to heal</w:t>
      </w:r>
      <w:r>
        <w:t xml:space="preserve"> </w:t>
      </w:r>
      <w:r>
        <w:t>the ego</w:t>
      </w:r>
      <w:r>
        <w:t xml:space="preserve"> </w:t>
      </w:r>
      <w:r>
        <w:t>at someone else’s expense</w:t>
      </w:r>
      <w:r>
        <w:t xml:space="preserve"> </w:t>
      </w:r>
      <w:r>
        <w:t>and calls for a cure.</w:t>
      </w:r>
      <w:r>
        <w:t xml:space="preserve"> </w:t>
      </w:r>
      <w:r>
        <w:t>we feel primary pity and then</w:t>
      </w:r>
      <w:r>
        <w:t xml:space="preserve"> </w:t>
      </w:r>
      <w:r>
        <w:t>deny that we</w:t>
      </w:r>
      <w:r>
        <w:t xml:space="preserve"> </w:t>
      </w:r>
      <w:r>
        <w:t>have felt it.</w:t>
      </w:r>
    </w:p>
    <w:p w14:paraId="146EF2BA" w14:textId="193F80E6" w:rsidR="00F67CF4" w:rsidRDefault="00F67CF4" w:rsidP="00F67CF4"/>
    <w:p w14:paraId="2BE9C7B1" w14:textId="77777777" w:rsidR="00F67CF4" w:rsidRDefault="00F67CF4" w:rsidP="00F67CF4">
      <w:pPr>
        <w:pStyle w:val="Heading4"/>
      </w:pPr>
      <w:r>
        <w:t>The 1AC’s belief of a better future becomes complicit in the logic of rehabilitative futurism, which is threatened by the Disabled Child.</w:t>
      </w:r>
    </w:p>
    <w:p w14:paraId="1636D663" w14:textId="429E9A82" w:rsidR="00F67CF4" w:rsidRDefault="00F67CF4" w:rsidP="00F67CF4">
      <w:r w:rsidRPr="009802CC">
        <w:rPr>
          <w:rStyle w:val="Heading4Char"/>
          <w:rFonts w:cs="Times New Roman"/>
          <w:sz w:val="26"/>
        </w:rPr>
        <w:t>Mollow 2</w:t>
      </w:r>
    </w:p>
    <w:p w14:paraId="21864B77" w14:textId="5EE0D5E8" w:rsidR="00F67CF4" w:rsidRDefault="00F67CF4" w:rsidP="00F67CF4">
      <w:r>
        <w:t>the</w:t>
      </w:r>
      <w:r>
        <w:t xml:space="preserve"> </w:t>
      </w:r>
      <w:r>
        <w:t>image of the</w:t>
      </w:r>
      <w:r>
        <w:t xml:space="preserve"> </w:t>
      </w:r>
      <w:r>
        <w:t>Child” is inextricable</w:t>
      </w:r>
      <w:r>
        <w:t xml:space="preserve"> </w:t>
      </w:r>
      <w:r>
        <w:t>from disability</w:t>
      </w:r>
      <w:r>
        <w:t xml:space="preserve"> </w:t>
      </w:r>
      <w:r>
        <w:t>the Child is</w:t>
      </w:r>
      <w:r>
        <w:t xml:space="preserve"> </w:t>
      </w:r>
      <w:r>
        <w:t>a</w:t>
      </w:r>
      <w:r>
        <w:t xml:space="preserve"> </w:t>
      </w:r>
      <w:r>
        <w:t>display of pity that demeans disabled people.</w:t>
      </w:r>
      <w:r>
        <w:t xml:space="preserve"> </w:t>
      </w:r>
      <w:r>
        <w:t>the Child makes an excellent alibi for ableism</w:t>
      </w:r>
      <w:r>
        <w:t xml:space="preserve"> </w:t>
      </w:r>
      <w:r>
        <w:t>because</w:t>
      </w:r>
      <w:r>
        <w:t xml:space="preserve"> </w:t>
      </w:r>
      <w:r>
        <w:t>not fighting for</w:t>
      </w:r>
      <w:r>
        <w:t xml:space="preserve"> </w:t>
      </w:r>
      <w:r>
        <w:t>is unthinkable.</w:t>
      </w:r>
      <w:r>
        <w:t xml:space="preserve"> </w:t>
      </w:r>
      <w:r>
        <w:t>The logic</w:t>
      </w:r>
      <w:r>
        <w:t xml:space="preserve"> </w:t>
      </w:r>
      <w:r>
        <w:t>relies on</w:t>
      </w:r>
      <w:r>
        <w:t xml:space="preserve"> </w:t>
      </w:r>
      <w:r>
        <w:t>“rehabilitative futurism,”</w:t>
      </w:r>
      <w:r>
        <w:t xml:space="preserve"> </w:t>
      </w:r>
      <w:r>
        <w:t>Futurity is</w:t>
      </w:r>
      <w:r>
        <w:t xml:space="preserve"> </w:t>
      </w:r>
      <w:r>
        <w:t>imagined</w:t>
      </w:r>
      <w:r>
        <w:t xml:space="preserve"> </w:t>
      </w:r>
      <w:r>
        <w:t>that</w:t>
      </w:r>
      <w:r>
        <w:t xml:space="preserve"> </w:t>
      </w:r>
      <w:r>
        <w:t>the eradication of disability</w:t>
      </w:r>
      <w:r>
        <w:t xml:space="preserve"> </w:t>
      </w:r>
      <w:r>
        <w:t>would bring</w:t>
      </w:r>
      <w:r>
        <w:t xml:space="preserve"> </w:t>
      </w:r>
      <w:r>
        <w:t>a better future.</w:t>
      </w:r>
    </w:p>
    <w:p w14:paraId="727B082F" w14:textId="77777777" w:rsidR="00F67CF4" w:rsidRDefault="00F67CF4" w:rsidP="00F67CF4"/>
    <w:p w14:paraId="78DBEEE9" w14:textId="77777777" w:rsidR="00F67CF4" w:rsidRPr="00120B93" w:rsidRDefault="00F67CF4" w:rsidP="00F67CF4">
      <w:pPr>
        <w:pStyle w:val="Heading4"/>
      </w:pPr>
      <w:r>
        <w:t xml:space="preserve">The alternative is to disable the figure of the “human” – instead of seeing disability as a redeemable position within civil society, the alternative weaponizes disability’s structural position against the human.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0B8EAC6A" w14:textId="286961E6" w:rsidR="00F67CF4" w:rsidRDefault="00F67CF4" w:rsidP="00F67CF4">
      <w:r w:rsidRPr="00120B93">
        <w:rPr>
          <w:rStyle w:val="Style13ptBold"/>
        </w:rPr>
        <w:t>Mollow 12</w:t>
      </w:r>
    </w:p>
    <w:p w14:paraId="76173C6A" w14:textId="66892336" w:rsidR="00F67CF4" w:rsidRDefault="00F67CF4" w:rsidP="00F67CF4">
      <w:r>
        <w:t>expanding the category of “human” to encompass those excluded will not “stop the inhumanity of the drive rather than conforming to a utopian/</w:t>
      </w:r>
      <w:proofErr w:type="spellStart"/>
      <w:r>
        <w:t>antirelational</w:t>
      </w:r>
      <w:proofErr w:type="spellEnd"/>
      <w:r>
        <w:t xml:space="preserve"> binary think both at once disability studies has offered reasons for society’s desperation to dehumanize and exclude disabled people the double bind simultaneously figures excess and lack disability theory should rather than humanize the disabled instead disable the human. abandon politics Suffering and lack, rather than dissociated from disability, are amplified It will be tempting to evade unbecoming human. But the dehumanizing double bind suggest that evasions may be futile. rather than to assume a different position within this impossible paradigm, disability theory should underscore its pervasiveness as evidence of a disability drive</w:t>
      </w:r>
    </w:p>
    <w:p w14:paraId="3618B741" w14:textId="77777777" w:rsidR="00F67CF4" w:rsidRDefault="00F67CF4" w:rsidP="00F67CF4"/>
    <w:p w14:paraId="549D0310" w14:textId="77777777" w:rsidR="00F67CF4" w:rsidRPr="00BC70E0" w:rsidRDefault="00F67CF4" w:rsidP="00F67CF4">
      <w:pPr>
        <w:pStyle w:val="Heading4"/>
      </w:pPr>
      <w:r>
        <w:t>T</w:t>
      </w:r>
      <w:r w:rsidRPr="00BC70E0">
        <w:t>heir analysis ignores the ways in which uncertainty, confusion, and the overall drive determine us. Instead, you should adopt epistemological disablement and be suspect of complete knowledge of the self.</w:t>
      </w:r>
    </w:p>
    <w:p w14:paraId="63D57697" w14:textId="268B6B09" w:rsidR="00F67CF4" w:rsidRDefault="00F67CF4" w:rsidP="00F67CF4">
      <w:r w:rsidRPr="00D21B0E">
        <w:rPr>
          <w:rStyle w:val="Style13ptBold"/>
        </w:rPr>
        <w:t xml:space="preserve">Mollow </w:t>
      </w:r>
      <w:r>
        <w:rPr>
          <w:rStyle w:val="Style13ptBold"/>
        </w:rPr>
        <w:t>4</w:t>
      </w:r>
    </w:p>
    <w:p w14:paraId="440BC63A" w14:textId="1289411D" w:rsidR="00F67CF4" w:rsidRDefault="00F67CF4" w:rsidP="00F67CF4">
      <w:r>
        <w:t xml:space="preserve">Any knowing of the drive must be characterized by incompletion coming into proximity with the drive produces uncertainty and incapacity These moments of epistemological disablement are disavowed by theorists and projected onto disabled people. disabled people are depicted as an insufficiency of self-knowledge drive theory undermine the possibility of a </w:t>
      </w:r>
      <w:proofErr w:type="spellStart"/>
      <w:r>
        <w:t>whol</w:t>
      </w:r>
      <w:proofErr w:type="spellEnd"/>
      <w:r>
        <w:t xml:space="preserve"> knowable self this limits complete self-knowledge while interrogating dynamics that imbalance epistemological authority</w:t>
      </w:r>
    </w:p>
    <w:p w14:paraId="3693AE2F" w14:textId="77777777" w:rsidR="00F67CF4" w:rsidRDefault="00F67CF4" w:rsidP="00F67CF4"/>
    <w:p w14:paraId="7BFECCC1" w14:textId="77777777" w:rsidR="00F67CF4" w:rsidRPr="00A35A28" w:rsidRDefault="00F67CF4" w:rsidP="00F67CF4">
      <w:pPr>
        <w:pStyle w:val="Heading4"/>
        <w:spacing w:line="276" w:lineRule="auto"/>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 Thus, the role of the ballot is </w:t>
      </w:r>
      <w:r w:rsidRPr="00A35A28">
        <w:rPr>
          <w:rFonts w:cs="Calibri"/>
        </w:rPr>
        <w:t>to vote for the debater who best disrupts notions of progress within civil society.</w:t>
      </w:r>
      <w:r>
        <w:rPr>
          <w:rFonts w:cs="Calibri"/>
        </w:rPr>
        <w:t xml:space="preserve"> No going for the advantage – it doesn’t disrupt progress.</w:t>
      </w:r>
    </w:p>
    <w:p w14:paraId="60C2390A" w14:textId="790209F6" w:rsidR="00F67CF4" w:rsidRDefault="00F67CF4" w:rsidP="00F67CF4">
      <w:r w:rsidRPr="00A35A28">
        <w:rPr>
          <w:rStyle w:val="Style13ptBold"/>
        </w:rPr>
        <w:t xml:space="preserve">Selck </w:t>
      </w:r>
      <w:r>
        <w:rPr>
          <w:rStyle w:val="Style13ptBold"/>
        </w:rPr>
        <w:t>16</w:t>
      </w:r>
    </w:p>
    <w:p w14:paraId="6EB18936" w14:textId="56614D1E" w:rsidR="00F67CF4" w:rsidRDefault="00F67CF4" w:rsidP="00F67CF4">
      <w:r>
        <w:t xml:space="preserve">dis/ability rarely enters the communication sphere. The questions that accompany dis/ability have been relocated like many </w:t>
      </w:r>
      <w:proofErr w:type="gramStart"/>
      <w:r>
        <w:t>patients</w:t>
      </w:r>
      <w:proofErr w:type="gramEnd"/>
      <w:r>
        <w:t xml:space="preserve"> Political correctness as communication underscores how programs operate understands the oppression as materially reconcilable dis/ability is an antagonism linguistic reforms would not scratch the surface Social death has occurred we need discussions about how to break down progress</w:t>
      </w:r>
    </w:p>
    <w:p w14:paraId="6DD869F0" w14:textId="77777777" w:rsidR="00F67CF4" w:rsidRDefault="00F67CF4" w:rsidP="00F67CF4"/>
    <w:p w14:paraId="64AC45D4" w14:textId="77777777" w:rsidR="00F67CF4" w:rsidRPr="00B34F2E" w:rsidRDefault="00F67CF4" w:rsidP="00F67CF4">
      <w:pPr>
        <w:pStyle w:val="Heading4"/>
      </w:pPr>
      <w:r w:rsidRPr="00B34F2E">
        <w:t xml:space="preserve">The disability drive is not about stable conceptions of disability or identity politics </w:t>
      </w:r>
      <w:r>
        <w:t xml:space="preserve">– </w:t>
      </w:r>
      <w:r w:rsidRPr="00B34F2E">
        <w:t xml:space="preserve">we </w:t>
      </w:r>
      <w:r>
        <w:t xml:space="preserve">instead </w:t>
      </w:r>
      <w:r w:rsidRPr="00B34F2E">
        <w:t xml:space="preserve">theorize about suffering and lack as a disabling and psychic force that structures the subject and explains myriad forms </w:t>
      </w:r>
      <w:r>
        <w:t>of</w:t>
      </w:r>
      <w:r w:rsidRPr="00B34F2E">
        <w:t xml:space="preserve"> exclusion</w:t>
      </w:r>
      <w:r>
        <w:t>.</w:t>
      </w:r>
    </w:p>
    <w:p w14:paraId="0C9E6342" w14:textId="3FFFBA6B" w:rsidR="00F67CF4" w:rsidRDefault="00F67CF4" w:rsidP="00F67CF4">
      <w:r w:rsidRPr="00A92802">
        <w:rPr>
          <w:rStyle w:val="Style13ptBold"/>
        </w:rPr>
        <w:t xml:space="preserve">Mollow </w:t>
      </w:r>
      <w:r>
        <w:rPr>
          <w:rStyle w:val="Style13ptBold"/>
        </w:rPr>
        <w:t>5</w:t>
      </w:r>
    </w:p>
    <w:p w14:paraId="1C0FDB04" w14:textId="3440AFE7" w:rsidR="00F67CF4" w:rsidRDefault="00F67CF4" w:rsidP="00F67CF4">
      <w:r>
        <w:t>to destabilize the disabled-nondisabled binary, this thesis employs “disability” open-ended ways we examine loss of capability without using “disability” as the sign for diagnostic or identity categories. the drive upsets stable conceptions of identities. as a force that shapes disabled and nondisabled subjects alike there are moments when we are all disabled</w:t>
      </w:r>
    </w:p>
    <w:p w14:paraId="03381269" w14:textId="77777777" w:rsidR="00F67CF4" w:rsidRPr="00F67CF4" w:rsidRDefault="00F67CF4" w:rsidP="00F67CF4"/>
    <w:sectPr w:rsidR="00F67CF4" w:rsidRPr="00F67CF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7C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40F"/>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67CF4"/>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6D8F84"/>
  <w14:defaultImageDpi w14:val="300"/>
  <w15:docId w15:val="{25860E99-830A-574F-8FE8-C4B10F065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7CF4"/>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F67C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7C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F67C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F67CF4"/>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F67C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7CF4"/>
  </w:style>
  <w:style w:type="character" w:customStyle="1" w:styleId="Heading1Char">
    <w:name w:val="Heading 1 Char"/>
    <w:aliases w:val="Pocket Char"/>
    <w:basedOn w:val="DefaultParagraphFont"/>
    <w:link w:val="Heading1"/>
    <w:uiPriority w:val="9"/>
    <w:rsid w:val="00F67CF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67CF4"/>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F67CF4"/>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F67CF4"/>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67CF4"/>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F67CF4"/>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F67CF4"/>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F67CF4"/>
    <w:rPr>
      <w:color w:val="auto"/>
      <w:u w:val="none"/>
    </w:rPr>
  </w:style>
  <w:style w:type="character" w:styleId="Hyperlink">
    <w:name w:val="Hyperlink"/>
    <w:basedOn w:val="DefaultParagraphFont"/>
    <w:uiPriority w:val="99"/>
    <w:semiHidden/>
    <w:unhideWhenUsed/>
    <w:rsid w:val="00F67CF4"/>
    <w:rPr>
      <w:color w:val="auto"/>
      <w:u w:val="none"/>
    </w:rPr>
  </w:style>
  <w:style w:type="paragraph" w:styleId="DocumentMap">
    <w:name w:val="Document Map"/>
    <w:basedOn w:val="Normal"/>
    <w:link w:val="DocumentMapChar"/>
    <w:uiPriority w:val="99"/>
    <w:semiHidden/>
    <w:unhideWhenUsed/>
    <w:rsid w:val="00F67C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7CF4"/>
    <w:rPr>
      <w:rFonts w:ascii="Lucida Grande" w:hAnsi="Lucida Grande" w:cs="Lucida Grande"/>
    </w:rPr>
  </w:style>
  <w:style w:type="paragraph" w:customStyle="1" w:styleId="textbold">
    <w:name w:val="text bold"/>
    <w:basedOn w:val="Normal"/>
    <w:link w:val="Emphasis"/>
    <w:uiPriority w:val="20"/>
    <w:qFormat/>
    <w:rsid w:val="00F67CF4"/>
    <w:pP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5607</Words>
  <Characters>31965</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37498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2021-12-04T14:59:00Z</dcterms:created>
  <dcterms:modified xsi:type="dcterms:W3CDTF">2021-12-04T15:07:00Z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