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1F33F" w14:textId="77777777" w:rsidR="006C6DAE" w:rsidRDefault="006C6DAE" w:rsidP="006C6DAE">
      <w:pPr>
        <w:pStyle w:val="Heading2"/>
      </w:pPr>
      <w:r>
        <w:t>1</w:t>
      </w:r>
    </w:p>
    <w:p w14:paraId="1FEDB073" w14:textId="77777777" w:rsidR="006C6DAE" w:rsidRPr="00815666" w:rsidRDefault="006C6DAE" w:rsidP="006C6DAE">
      <w:pPr>
        <w:pStyle w:val="Heading4"/>
        <w:jc w:val="both"/>
        <w:rPr>
          <w:sz w:val="20"/>
          <w:szCs w:val="20"/>
        </w:rPr>
      </w:pPr>
      <w:r w:rsidRPr="00356B80">
        <w:t xml:space="preserve">A. Interpretation: </w:t>
      </w:r>
      <w:r>
        <w:t>If the aff differs from the conventional truth testing model, they</w:t>
      </w:r>
      <w:r w:rsidRPr="00356B80">
        <w:t xml:space="preserve"> must </w:t>
      </w:r>
      <w:r>
        <w:t xml:space="preserve">explicitly </w:t>
      </w:r>
      <w:r w:rsidRPr="00356B80">
        <w:t xml:space="preserve">specify a comprehensive role of the ballot and clarify how the round will play out under that role of the ballot in the form of a text in the 1AC. To clarify, the aff must: </w:t>
      </w:r>
    </w:p>
    <w:p w14:paraId="7C96E937" w14:textId="77777777" w:rsidR="006C6DAE" w:rsidRPr="00CA26E4" w:rsidRDefault="006C6DAE" w:rsidP="006C6DAE">
      <w:pPr>
        <w:pStyle w:val="Heading4"/>
        <w:jc w:val="both"/>
        <w:rPr>
          <w:sz w:val="20"/>
          <w:szCs w:val="20"/>
        </w:rPr>
      </w:pPr>
      <w:r>
        <w:t>1. Clarify how offense links back to the role of the ballot</w:t>
      </w:r>
      <w:r w:rsidRPr="00CA26E4">
        <w:t xml:space="preserve">, such </w:t>
      </w:r>
      <w:r>
        <w:t xml:space="preserve">as whether post-fiat offense or pre-fiat offense </w:t>
      </w:r>
      <w:proofErr w:type="gramStart"/>
      <w:r>
        <w:t>matters</w:t>
      </w:r>
      <w:proofErr w:type="gramEnd"/>
      <w:r>
        <w:t xml:space="preserve"> and which comes first. </w:t>
      </w:r>
    </w:p>
    <w:p w14:paraId="447DE116" w14:textId="77777777" w:rsidR="006C6DAE" w:rsidRPr="00CA26E4" w:rsidRDefault="006C6DAE" w:rsidP="006C6DAE">
      <w:pPr>
        <w:pStyle w:val="Heading4"/>
        <w:jc w:val="both"/>
        <w:rPr>
          <w:sz w:val="20"/>
          <w:szCs w:val="20"/>
        </w:rPr>
      </w:pPr>
      <w:r>
        <w:t xml:space="preserve">2. </w:t>
      </w:r>
      <w:r w:rsidRPr="00CA26E4">
        <w:t xml:space="preserve">Clarify what theoretical objections do and do not link to the aff, </w:t>
      </w:r>
      <w:r>
        <w:t>such as</w:t>
      </w:r>
      <w:r w:rsidRPr="00CA26E4">
        <w:t xml:space="preserve"> </w:t>
      </w:r>
      <w:proofErr w:type="gramStart"/>
      <w:r w:rsidRPr="00CA26E4">
        <w:t>whether or not</w:t>
      </w:r>
      <w:proofErr w:type="gramEnd"/>
      <w:r w:rsidRPr="00CA26E4">
        <w:t xml:space="preserve"> the aff comes before theory. </w:t>
      </w:r>
    </w:p>
    <w:p w14:paraId="2C30D772" w14:textId="77777777" w:rsidR="006C6DAE" w:rsidRDefault="006C6DAE" w:rsidP="006C6DAE">
      <w:pPr>
        <w:pStyle w:val="Heading4"/>
        <w:jc w:val="both"/>
      </w:pPr>
      <w:r>
        <w:t>3. Clarify</w:t>
      </w:r>
      <w:r w:rsidRPr="00CA26E4">
        <w:t xml:space="preserve"> how to weigh and compa</w:t>
      </w:r>
      <w:r>
        <w:t xml:space="preserve">re between competing advocacies </w:t>
      </w:r>
      <w:proofErr w:type="gramStart"/>
      <w:r>
        <w:t>i.e.</w:t>
      </w:r>
      <w:proofErr w:type="gramEnd"/>
      <w:r>
        <w:t xml:space="preserve"> whether the role of the ballot is solely determined by the flow or another method of engagement. </w:t>
      </w:r>
    </w:p>
    <w:p w14:paraId="68C5EAB5" w14:textId="77777777" w:rsidR="006C6DAE" w:rsidRDefault="006C6DAE" w:rsidP="006C6DAE">
      <w:pPr>
        <w:pStyle w:val="Heading4"/>
        <w:jc w:val="both"/>
      </w:pPr>
      <w:r w:rsidRPr="00356B80">
        <w:t>B. Violation:</w:t>
      </w:r>
      <w:r>
        <w:t xml:space="preserve"> They didn’t.</w:t>
      </w:r>
    </w:p>
    <w:p w14:paraId="0BCA07BC" w14:textId="77777777" w:rsidR="006C6DAE" w:rsidRDefault="006C6DAE" w:rsidP="006C6DAE">
      <w:pPr>
        <w:pStyle w:val="Heading4"/>
        <w:jc w:val="both"/>
      </w:pPr>
      <w:r w:rsidRPr="00356B80">
        <w:t>C. Standards</w:t>
      </w:r>
      <w:r>
        <w:t>:</w:t>
      </w:r>
    </w:p>
    <w:p w14:paraId="609772F0" w14:textId="40383D0A" w:rsidR="006C6DAE" w:rsidRPr="006C1FC0" w:rsidRDefault="006C6DAE" w:rsidP="006C6DAE">
      <w:pPr>
        <w:pStyle w:val="Heading4"/>
        <w:jc w:val="both"/>
      </w:pPr>
      <w:r w:rsidRPr="00F0055E">
        <w:t xml:space="preserve">1. </w:t>
      </w:r>
      <w:r w:rsidRPr="00F0055E">
        <w:rPr>
          <w:u w:val="single"/>
        </w:rPr>
        <w:t>Engagement</w:t>
      </w:r>
      <w:r w:rsidRPr="00F0055E">
        <w:t xml:space="preserve"> – </w:t>
      </w:r>
    </w:p>
    <w:p w14:paraId="2D215182" w14:textId="488A76EF" w:rsidR="006C6DAE" w:rsidRPr="000B1E40" w:rsidRDefault="006C6DAE" w:rsidP="006C6DAE">
      <w:pPr>
        <w:pStyle w:val="Heading4"/>
        <w:jc w:val="both"/>
      </w:pPr>
      <w:r w:rsidRPr="000B1E40">
        <w:t xml:space="preserve">2. </w:t>
      </w:r>
      <w:r w:rsidRPr="006C3476">
        <w:rPr>
          <w:u w:val="single"/>
        </w:rPr>
        <w:t>Strategy Skew</w:t>
      </w:r>
      <w:r w:rsidRPr="000B1E40">
        <w:t xml:space="preserve"> – </w:t>
      </w:r>
    </w:p>
    <w:p w14:paraId="1A96B39A" w14:textId="3FEECB4F" w:rsidR="00C86E71" w:rsidRPr="00C86E71" w:rsidRDefault="006C6DAE" w:rsidP="00C86E71">
      <w:pPr>
        <w:pStyle w:val="Heading4"/>
        <w:jc w:val="both"/>
      </w:pPr>
      <w:r w:rsidRPr="0036214B">
        <w:t>Framing: You can’t use your ROB to exclude my shell</w:t>
      </w:r>
      <w:r w:rsidR="00C86E71">
        <w:t xml:space="preserve"> –</w:t>
      </w:r>
    </w:p>
    <w:p w14:paraId="353D2792" w14:textId="77777777" w:rsidR="006C6DAE" w:rsidRDefault="006C6DAE" w:rsidP="006C6DAE">
      <w:pPr>
        <w:pStyle w:val="Heading4"/>
      </w:pPr>
      <w:r>
        <w:t>D. Voters:</w:t>
      </w:r>
    </w:p>
    <w:p w14:paraId="0E3A2DF7" w14:textId="77777777" w:rsidR="00C86E71" w:rsidRDefault="006C6DAE" w:rsidP="006C6DAE">
      <w:pPr>
        <w:pStyle w:val="Heading4"/>
      </w:pPr>
      <w:r w:rsidRPr="00E40917">
        <w:rPr>
          <w:u w:val="single"/>
        </w:rPr>
        <w:t>Fairness is a voter</w:t>
      </w:r>
      <w:r>
        <w:t xml:space="preserve"> – they warranted it in the 1AC. </w:t>
      </w:r>
    </w:p>
    <w:p w14:paraId="0BF938E0" w14:textId="77777777" w:rsidR="00C86E71" w:rsidRDefault="006C6DAE" w:rsidP="006C6DAE">
      <w:pPr>
        <w:pStyle w:val="Heading4"/>
      </w:pPr>
      <w:r w:rsidRPr="00E40917">
        <w:rPr>
          <w:u w:val="single"/>
        </w:rPr>
        <w:t>Education is a voter</w:t>
      </w:r>
      <w:r>
        <w:t xml:space="preserve"> –</w:t>
      </w:r>
    </w:p>
    <w:p w14:paraId="410B0FF3" w14:textId="77777777" w:rsidR="00C86E71" w:rsidRDefault="006C6DAE" w:rsidP="006C6DAE">
      <w:pPr>
        <w:pStyle w:val="Heading4"/>
      </w:pPr>
      <w:r w:rsidRPr="009F0AB1">
        <w:rPr>
          <w:u w:val="single"/>
        </w:rPr>
        <w:t>No RVIs</w:t>
      </w:r>
      <w:r>
        <w:t xml:space="preserve"> –</w:t>
      </w:r>
    </w:p>
    <w:p w14:paraId="13CF330B" w14:textId="77777777" w:rsidR="00C86E71" w:rsidRDefault="006C6DAE" w:rsidP="006C6DAE">
      <w:pPr>
        <w:pStyle w:val="Heading4"/>
      </w:pPr>
      <w:r w:rsidRPr="009F0AB1">
        <w:rPr>
          <w:u w:val="single"/>
        </w:rPr>
        <w:t>Use competing interps</w:t>
      </w:r>
      <w:r>
        <w:t xml:space="preserve"> –reasonability collapses as per the 1AC underview.</w:t>
      </w:r>
    </w:p>
    <w:p w14:paraId="0623D7A5" w14:textId="6C585559" w:rsidR="006C6DAE" w:rsidRDefault="006C6DAE" w:rsidP="006C6DAE">
      <w:pPr>
        <w:pStyle w:val="Heading4"/>
      </w:pPr>
      <w:r w:rsidRPr="009F0AB1">
        <w:rPr>
          <w:u w:val="single"/>
        </w:rPr>
        <w:t>Drop the debater</w:t>
      </w:r>
      <w:r>
        <w:t xml:space="preserve"> to deter future abuse and rectify the time spent reading the shell.</w:t>
      </w:r>
    </w:p>
    <w:p w14:paraId="281492FC" w14:textId="77777777" w:rsidR="006C6DAE" w:rsidRDefault="006C6DAE" w:rsidP="006C6DAE"/>
    <w:p w14:paraId="3857904F" w14:textId="77777777" w:rsidR="006C6DAE" w:rsidRDefault="006C6DAE" w:rsidP="006C6DAE">
      <w:pPr>
        <w:pStyle w:val="Heading2"/>
      </w:pPr>
      <w:r>
        <w:lastRenderedPageBreak/>
        <w:t>2</w:t>
      </w:r>
    </w:p>
    <w:p w14:paraId="1247FA79" w14:textId="77777777" w:rsidR="006C6DAE" w:rsidRDefault="006C6DAE" w:rsidP="006C6DAE">
      <w:pPr>
        <w:pStyle w:val="Heading4"/>
      </w:pPr>
      <w:r w:rsidRPr="004D2AAB">
        <w:t xml:space="preserve">The AFF insists you presume their side in instances of uncertainty, this is the very foundation of rape culture and perpetuates the passive voice of the </w:t>
      </w:r>
      <w:r>
        <w:t>survivors</w:t>
      </w:r>
      <w:r w:rsidRPr="004D2AAB">
        <w:t xml:space="preserve"> of sexual violence and reinforces the notion that this violence is acceptable.</w:t>
      </w:r>
    </w:p>
    <w:p w14:paraId="6E60AA47" w14:textId="77777777" w:rsidR="006C6DAE" w:rsidRDefault="006C6DAE" w:rsidP="006C6DAE">
      <w:r w:rsidRPr="004D2AAB">
        <w:rPr>
          <w:rStyle w:val="Style13ptBold"/>
        </w:rPr>
        <w:t>Fraser ’15</w:t>
      </w:r>
      <w:r w:rsidRPr="004D2AAB">
        <w:t xml:space="preserve"> – Brackets for clarity Fraser, Courtney. From “Ladies First” to “Asking for It”: Benevolent Sexism in the Maintenance of Rape Culture (n.d.): n. </w:t>
      </w:r>
      <w:proofErr w:type="spellStart"/>
      <w:r w:rsidRPr="004D2AAB">
        <w:t>pag</w:t>
      </w:r>
      <w:proofErr w:type="spellEnd"/>
      <w:r w:rsidRPr="004D2AAB">
        <w:t xml:space="preserve">. Jan. 2015. Web. </w:t>
      </w:r>
    </w:p>
    <w:p w14:paraId="0D715A16" w14:textId="77777777" w:rsidR="006C6DAE" w:rsidRPr="00813FC3" w:rsidRDefault="006C6DAE" w:rsidP="006C6DAE">
      <w:pPr>
        <w:rPr>
          <w:sz w:val="16"/>
        </w:rPr>
      </w:pPr>
      <w:r w:rsidRPr="00813FC3">
        <w:rPr>
          <w:sz w:val="16"/>
        </w:rPr>
        <w:t xml:space="preserve">The problem of </w:t>
      </w:r>
      <w:r w:rsidRPr="00FC1CB7">
        <w:rPr>
          <w:b/>
          <w:bCs/>
          <w:highlight w:val="green"/>
          <w:u w:val="single"/>
        </w:rPr>
        <w:t>sexual violence against women</w:t>
      </w:r>
      <w:r w:rsidRPr="00813FC3">
        <w:rPr>
          <w:sz w:val="16"/>
          <w:highlight w:val="green"/>
        </w:rPr>
        <w:t xml:space="preserve"> </w:t>
      </w:r>
      <w:r w:rsidRPr="00813FC3">
        <w:rPr>
          <w:sz w:val="16"/>
        </w:rPr>
        <w:t xml:space="preserve">has been </w:t>
      </w:r>
      <w:r w:rsidRPr="00FC1CB7">
        <w:rPr>
          <w:b/>
          <w:bCs/>
          <w:highlight w:val="green"/>
          <w:u w:val="single"/>
        </w:rPr>
        <w:t>analyzed with an eye to the causal significance of misogyny</w:t>
      </w:r>
      <w:r w:rsidRPr="00813FC3">
        <w:rPr>
          <w:sz w:val="16"/>
        </w:rPr>
        <w:t>, but legal analysis has neglected the role played by other facets of sexism, including ostensibly “benevolent” sexism (or</w:t>
      </w:r>
      <w:r w:rsidRPr="004D2AAB">
        <w:rPr>
          <w:b/>
          <w:bCs/>
          <w:u w:val="single"/>
        </w:rPr>
        <w:t xml:space="preserve"> </w:t>
      </w:r>
      <w:r w:rsidRPr="00FC1CB7">
        <w:rPr>
          <w:b/>
          <w:bCs/>
          <w:highlight w:val="green"/>
          <w:u w:val="single"/>
        </w:rPr>
        <w:t>chivalry), in the perpetuation of rape culture</w:t>
      </w:r>
      <w:r w:rsidRPr="00813FC3">
        <w:rPr>
          <w:sz w:val="16"/>
        </w:rPr>
        <w:t xml:space="preserve">, which </w:t>
      </w:r>
      <w:r w:rsidRPr="00FC1CB7">
        <w:rPr>
          <w:b/>
          <w:bCs/>
          <w:highlight w:val="green"/>
          <w:u w:val="single"/>
        </w:rPr>
        <w:t>normalizes</w:t>
      </w:r>
      <w:r w:rsidRPr="00813FC3">
        <w:rPr>
          <w:sz w:val="16"/>
        </w:rPr>
        <w:t xml:space="preserve"> this </w:t>
      </w:r>
      <w:r w:rsidRPr="00FC1CB7">
        <w:rPr>
          <w:b/>
          <w:bCs/>
          <w:highlight w:val="green"/>
          <w:u w:val="single"/>
        </w:rPr>
        <w:t>violence</w:t>
      </w:r>
      <w:r w:rsidRPr="00813FC3">
        <w:rPr>
          <w:sz w:val="16"/>
        </w:rPr>
        <w:t xml:space="preserve">. Additionally, discussions of sexual violence often overlook the epidemic of acquaintance rape, although it accounts for </w:t>
      </w:r>
      <w:proofErr w:type="gramStart"/>
      <w:r w:rsidRPr="00813FC3">
        <w:rPr>
          <w:sz w:val="16"/>
        </w:rPr>
        <w:t>the majority of</w:t>
      </w:r>
      <w:proofErr w:type="gramEnd"/>
      <w:r w:rsidRPr="00813FC3">
        <w:rPr>
          <w:sz w:val="16"/>
        </w:rPr>
        <w:t xml:space="preserve"> sexual assaults committed. This Comment draws on social psychology and gender theory to posit that benevolent-sexist ideologies construct women as creatures devoid of agency, leading men to routinely presume women’s consent to sexual activity </w:t>
      </w:r>
      <w:proofErr w:type="gramStart"/>
      <w:r w:rsidRPr="00813FC3">
        <w:rPr>
          <w:sz w:val="16"/>
        </w:rPr>
        <w:t>whether or not</w:t>
      </w:r>
      <w:proofErr w:type="gramEnd"/>
      <w:r w:rsidRPr="00813FC3">
        <w:rPr>
          <w:sz w:val="16"/>
        </w:rPr>
        <w:t xml:space="preserve"> such consent in fact exists. </w:t>
      </w:r>
      <w:r w:rsidRPr="00FC1CB7">
        <w:rPr>
          <w:b/>
          <w:bCs/>
          <w:highlight w:val="green"/>
          <w:u w:val="single"/>
        </w:rPr>
        <w:t xml:space="preserve">The legal treatment of women’s rape and sexual harassment claims </w:t>
      </w:r>
      <w:r w:rsidRPr="00813FC3">
        <w:rPr>
          <w:sz w:val="16"/>
        </w:rPr>
        <w:t xml:space="preserve">shows </w:t>
      </w:r>
      <w:proofErr w:type="spellStart"/>
      <w:r w:rsidRPr="00813FC3">
        <w:rPr>
          <w:sz w:val="16"/>
        </w:rPr>
        <w:t>thise</w:t>
      </w:r>
      <w:proofErr w:type="spellEnd"/>
      <w:r w:rsidRPr="00813FC3">
        <w:rPr>
          <w:sz w:val="16"/>
        </w:rPr>
        <w:t xml:space="preserve"> catastrophic effects of this process as women are relegated cognitively, </w:t>
      </w:r>
      <w:r w:rsidRPr="00FC1CB7">
        <w:rPr>
          <w:b/>
          <w:bCs/>
          <w:highlight w:val="green"/>
          <w:u w:val="single"/>
        </w:rPr>
        <w:t xml:space="preserve">socially, and legally to </w:t>
      </w:r>
      <w:proofErr w:type="gramStart"/>
      <w:r w:rsidRPr="00FC1CB7">
        <w:rPr>
          <w:b/>
          <w:bCs/>
          <w:highlight w:val="green"/>
          <w:u w:val="single"/>
        </w:rPr>
        <w:t>a the</w:t>
      </w:r>
      <w:proofErr w:type="gramEnd"/>
      <w:r w:rsidRPr="00FC1CB7">
        <w:rPr>
          <w:b/>
          <w:bCs/>
          <w:highlight w:val="green"/>
          <w:u w:val="single"/>
        </w:rPr>
        <w:t xml:space="preserve"> role of passive receptivity—forced to prove an absence of consent as men are taught to assume its presence</w:t>
      </w:r>
    </w:p>
    <w:p w14:paraId="5099ADDF" w14:textId="77777777" w:rsidR="006C6DAE" w:rsidRDefault="006C6DAE" w:rsidP="006C6DAE">
      <w:pPr>
        <w:pStyle w:val="Heading4"/>
      </w:pPr>
      <w:r w:rsidRPr="004D2AAB">
        <w:t>This presumption is the cause of repeated sexual violence and the dominant ideology that justifies sexism and exploitation.</w:t>
      </w:r>
    </w:p>
    <w:p w14:paraId="32B02079" w14:textId="77777777" w:rsidR="006C6DAE" w:rsidRDefault="006C6DAE" w:rsidP="006C6DAE">
      <w:proofErr w:type="spellStart"/>
      <w:r w:rsidRPr="004D2AAB">
        <w:rPr>
          <w:rStyle w:val="Style13ptBold"/>
        </w:rPr>
        <w:t>Krohn</w:t>
      </w:r>
      <w:proofErr w:type="spellEnd"/>
      <w:r w:rsidRPr="004D2AAB">
        <w:rPr>
          <w:rStyle w:val="Style13ptBold"/>
        </w:rPr>
        <w:t xml:space="preserve"> ’14</w:t>
      </w:r>
      <w:r w:rsidRPr="004D2AAB">
        <w:t xml:space="preserve"> – Brackets for </w:t>
      </w:r>
      <w:proofErr w:type="gramStart"/>
      <w:r w:rsidRPr="004D2AAB">
        <w:t>clarity  Jesse</w:t>
      </w:r>
      <w:proofErr w:type="gramEnd"/>
      <w:r w:rsidRPr="004D2AAB">
        <w:t xml:space="preserve"> </w:t>
      </w:r>
      <w:proofErr w:type="spellStart"/>
      <w:r w:rsidRPr="004D2AAB">
        <w:t>Krohn</w:t>
      </w:r>
      <w:proofErr w:type="spellEnd"/>
      <w:r w:rsidRPr="004D2AAB">
        <w:t xml:space="preserve">, Sexual Harassment, Sexual Assault, and Students with Special Needs: Crafting an Effective Response for Schools, 17 U. Pa. J.L. and Soc. Change 29 (2014). </w:t>
      </w:r>
    </w:p>
    <w:p w14:paraId="29DAA158" w14:textId="77777777" w:rsidR="006C6DAE" w:rsidRPr="00FC1CB7" w:rsidRDefault="006C6DAE" w:rsidP="006C6DAE">
      <w:pPr>
        <w:rPr>
          <w:b/>
          <w:bCs/>
          <w:highlight w:val="green"/>
          <w:u w:val="single"/>
        </w:rPr>
      </w:pPr>
      <w:r w:rsidRPr="00813FC3">
        <w:rPr>
          <w:sz w:val="16"/>
        </w:rPr>
        <w:t xml:space="preserve">MacKinnon’s early ideas recognized, above all, that law divided women into two categories: </w:t>
      </w:r>
      <w:r w:rsidRPr="00FC1CB7">
        <w:rPr>
          <w:b/>
          <w:bCs/>
          <w:highlight w:val="green"/>
          <w:u w:val="single"/>
        </w:rPr>
        <w:t>those who are presumed to say yes and those who are presumed to say no</w:t>
      </w:r>
      <w:r w:rsidRPr="00813FC3">
        <w:rPr>
          <w:sz w:val="16"/>
        </w:rPr>
        <w:t xml:space="preserve">. . . . Feminists respond to this legal situation with strategies (e.g., rape shield laws) that don’t disrupt the categories but seek instead to show that women who encounter sexual violence are on the innocent side of the divide. </w:t>
      </w:r>
      <w:r w:rsidRPr="00FC1CB7">
        <w:rPr>
          <w:b/>
          <w:bCs/>
          <w:highlight w:val="green"/>
          <w:u w:val="single"/>
        </w:rPr>
        <w:t>This</w:t>
      </w:r>
      <w:r w:rsidRPr="00813FC3">
        <w:rPr>
          <w:sz w:val="16"/>
        </w:rPr>
        <w:t xml:space="preserve"> strategy </w:t>
      </w:r>
      <w:r w:rsidRPr="00FC1CB7">
        <w:rPr>
          <w:b/>
          <w:bCs/>
          <w:highlight w:val="green"/>
          <w:u w:val="single"/>
        </w:rPr>
        <w:t>has provoked</w:t>
      </w:r>
      <w:r w:rsidRPr="00813FC3">
        <w:rPr>
          <w:sz w:val="16"/>
          <w:highlight w:val="green"/>
        </w:rPr>
        <w:t xml:space="preserve"> </w:t>
      </w:r>
      <w:r w:rsidRPr="00813FC3">
        <w:rPr>
          <w:sz w:val="16"/>
        </w:rPr>
        <w:t xml:space="preserve">the not uncommon, but perhaps unfair, </w:t>
      </w:r>
      <w:r w:rsidRPr="00FC1CB7">
        <w:rPr>
          <w:b/>
          <w:bCs/>
          <w:highlight w:val="green"/>
          <w:u w:val="single"/>
        </w:rPr>
        <w:t>criticism that feminist advocates focus so intently on the victimization of women</w:t>
      </w:r>
      <w:r w:rsidRPr="00813FC3">
        <w:rPr>
          <w:sz w:val="16"/>
          <w:highlight w:val="green"/>
        </w:rPr>
        <w:t xml:space="preserve"> </w:t>
      </w:r>
      <w:r w:rsidRPr="00813FC3">
        <w:rPr>
          <w:sz w:val="16"/>
        </w:rPr>
        <w:t xml:space="preserve">that they </w:t>
      </w:r>
      <w:proofErr w:type="gramStart"/>
      <w:r w:rsidRPr="00813FC3">
        <w:rPr>
          <w:sz w:val="16"/>
        </w:rPr>
        <w:t>actually contribute</w:t>
      </w:r>
      <w:proofErr w:type="gramEnd"/>
      <w:r w:rsidRPr="00813FC3">
        <w:rPr>
          <w:sz w:val="16"/>
        </w:rPr>
        <w:t xml:space="preserve"> subject to further </w:t>
      </w:r>
      <w:r w:rsidRPr="00FC1CB7">
        <w:rPr>
          <w:b/>
          <w:bCs/>
          <w:highlight w:val="green"/>
          <w:u w:val="single"/>
        </w:rPr>
        <w:t>disempowerment by</w:t>
      </w:r>
      <w:r w:rsidRPr="00813FC3">
        <w:rPr>
          <w:sz w:val="16"/>
        </w:rPr>
        <w:t xml:space="preserve"> emphasizing </w:t>
      </w:r>
      <w:r w:rsidRPr="00FC1CB7">
        <w:rPr>
          <w:b/>
          <w:bCs/>
          <w:highlight w:val="green"/>
          <w:u w:val="single"/>
        </w:rPr>
        <w:t>weakness and vulnerability</w:t>
      </w:r>
      <w:r w:rsidRPr="00813FC3">
        <w:rPr>
          <w:sz w:val="16"/>
        </w:rPr>
        <w:t xml:space="preserve">, and they alienate potential feminist allies, both male and female, </w:t>
      </w:r>
      <w:r w:rsidRPr="00FC1CB7">
        <w:rPr>
          <w:b/>
          <w:bCs/>
          <w:highlight w:val="green"/>
          <w:u w:val="single"/>
        </w:rPr>
        <w:t>with an overall attitude towards sexuality that is grim and obsessed with exploitation.</w:t>
      </w:r>
    </w:p>
    <w:p w14:paraId="1CC14CEA" w14:textId="77777777" w:rsidR="006C6DAE" w:rsidRDefault="006C6DAE" w:rsidP="006C6DAE"/>
    <w:p w14:paraId="3EB06235" w14:textId="77777777" w:rsidR="006C6DAE" w:rsidRDefault="006C6DAE" w:rsidP="006C6DAE">
      <w:pPr>
        <w:pStyle w:val="Heading2"/>
      </w:pPr>
      <w:r>
        <w:lastRenderedPageBreak/>
        <w:t>3</w:t>
      </w:r>
    </w:p>
    <w:p w14:paraId="0FB463BF" w14:textId="02188A70" w:rsidR="006C6DAE" w:rsidRPr="00742C76" w:rsidRDefault="006C6DAE" w:rsidP="006C6DAE">
      <w:pPr>
        <w:pStyle w:val="Heading4"/>
        <w:rPr>
          <w:rFonts w:cs="Calibri"/>
        </w:rPr>
      </w:pPr>
      <w:r w:rsidRPr="00742C76">
        <w:rPr>
          <w:rFonts w:cs="Calibri"/>
        </w:rPr>
        <w:t xml:space="preserve">The meta-ethic is procedural moral realism </w:t>
      </w:r>
      <w:r w:rsidR="00C86E71">
        <w:rPr>
          <w:rFonts w:cs="Calibri"/>
        </w:rPr>
        <w:t>–</w:t>
      </w:r>
      <w:r w:rsidRPr="00742C76">
        <w:rPr>
          <w:rFonts w:cs="Calibri"/>
        </w:rPr>
        <w:t xml:space="preserve"> </w:t>
      </w:r>
    </w:p>
    <w:p w14:paraId="16635DB9" w14:textId="270796AC" w:rsidR="006C6DAE" w:rsidRPr="00742C76" w:rsidRDefault="006C6DAE" w:rsidP="006C6DAE">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w:t>
      </w:r>
    </w:p>
    <w:p w14:paraId="7D0F32AF" w14:textId="0283ABBB" w:rsidR="006C6DAE" w:rsidRPr="00742C76" w:rsidRDefault="006C6DAE" w:rsidP="006C6DAE">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w:t>
      </w:r>
    </w:p>
    <w:p w14:paraId="47689FD7" w14:textId="619C77FE" w:rsidR="00C86E71" w:rsidRPr="00C86E71" w:rsidRDefault="006C6DAE" w:rsidP="00C86E71">
      <w:pPr>
        <w:pStyle w:val="Heading4"/>
        <w:rPr>
          <w:rFonts w:cs="Calibri"/>
        </w:rPr>
      </w:pPr>
      <w:r w:rsidRPr="00742C76">
        <w:rPr>
          <w:rFonts w:cs="Calibri"/>
        </w:rPr>
        <w:t>Practical Reason is that procedure</w:t>
      </w:r>
      <w:r w:rsidR="00C86E71">
        <w:rPr>
          <w:rFonts w:cs="Calibri"/>
        </w:rPr>
        <w:t xml:space="preserve"> –</w:t>
      </w:r>
    </w:p>
    <w:p w14:paraId="361816DA" w14:textId="0F2058A4" w:rsidR="00C86E71" w:rsidRPr="00C86E71" w:rsidRDefault="006C6DAE" w:rsidP="00C86E71">
      <w:pPr>
        <w:pStyle w:val="Heading4"/>
        <w:rPr>
          <w:rFonts w:cs="Calibri"/>
        </w:rPr>
      </w:pPr>
      <w:r w:rsidRPr="00742C76">
        <w:rPr>
          <w:rFonts w:cs="Calibri"/>
        </w:rPr>
        <w:t>Moral law must be universal</w:t>
      </w:r>
      <w:r w:rsidR="00C86E71">
        <w:rPr>
          <w:rFonts w:cs="Calibri"/>
        </w:rPr>
        <w:t xml:space="preserve"> –</w:t>
      </w:r>
    </w:p>
    <w:p w14:paraId="18C037A7" w14:textId="77777777" w:rsidR="006C6DAE" w:rsidRPr="00742C76" w:rsidRDefault="006C6DAE" w:rsidP="006C6DAE">
      <w:pPr>
        <w:pStyle w:val="Heading4"/>
        <w:rPr>
          <w:rFonts w:cs="Calibri"/>
        </w:rPr>
      </w:pPr>
      <w:r w:rsidRPr="00742C76">
        <w:rPr>
          <w:rFonts w:cs="Calibri"/>
        </w:rPr>
        <w:t>Thus, the standard is consistency with liberty. Prefer:</w:t>
      </w:r>
    </w:p>
    <w:p w14:paraId="2123B8BE" w14:textId="77777777" w:rsidR="006C6DAE" w:rsidRPr="00742C76" w:rsidRDefault="006C6DAE" w:rsidP="006C6DAE">
      <w:pPr>
        <w:pStyle w:val="Heading4"/>
        <w:rPr>
          <w:rFonts w:cs="Calibri"/>
        </w:rPr>
      </w:pPr>
      <w:r w:rsidRPr="00742C76">
        <w:rPr>
          <w:rFonts w:cs="Calibri"/>
        </w:rPr>
        <w:t>1] The state is obligated to prioritize freedom.</w:t>
      </w:r>
    </w:p>
    <w:p w14:paraId="727317E7" w14:textId="77777777" w:rsidR="006C6DAE" w:rsidRPr="00742C76" w:rsidRDefault="006C6DAE" w:rsidP="006C6DAE">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14:paraId="4468F2AD" w14:textId="77777777" w:rsidR="006C6DAE" w:rsidRPr="00742C76" w:rsidRDefault="006C6DAE" w:rsidP="006C6DAE">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 xml:space="preserve">the only “coercive laws” to </w:t>
      </w:r>
      <w:r w:rsidRPr="00742C76">
        <w:rPr>
          <w:rStyle w:val="StyleUnderline"/>
          <w:highlight w:val="green"/>
        </w:rPr>
        <w:lastRenderedPageBreak/>
        <w:t>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w:t>
      </w:r>
      <w:r w:rsidRPr="00742C76">
        <w:rPr>
          <w:sz w:val="12"/>
        </w:rPr>
        <w:lastRenderedPageBreak/>
        <w:t xml:space="preserve">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0932B722" w14:textId="66F5401A" w:rsidR="006C6DAE" w:rsidRPr="00742C76" w:rsidRDefault="006C6DAE" w:rsidP="006C6DAE">
      <w:pPr>
        <w:pStyle w:val="Heading4"/>
        <w:rPr>
          <w:rFonts w:cs="Calibri"/>
        </w:rPr>
      </w:pPr>
      <w:r w:rsidRPr="00742C76">
        <w:rPr>
          <w:rFonts w:cs="Calibri"/>
        </w:rPr>
        <w:t xml:space="preserve">2] Enterprise – </w:t>
      </w:r>
    </w:p>
    <w:p w14:paraId="226A12C7" w14:textId="256D9D2B" w:rsidR="00C86E71" w:rsidRPr="00C86E71" w:rsidRDefault="006C6DAE" w:rsidP="00C86E71">
      <w:pPr>
        <w:pStyle w:val="Heading4"/>
        <w:rPr>
          <w:rFonts w:cs="Calibri"/>
          <w:color w:val="000000" w:themeColor="text1"/>
        </w:rPr>
      </w:pPr>
      <w:r w:rsidRPr="00742C76">
        <w:rPr>
          <w:rFonts w:cs="Calibri"/>
        </w:rPr>
        <w:t xml:space="preserve">3] </w:t>
      </w:r>
      <w:r w:rsidRPr="00742C76">
        <w:rPr>
          <w:rFonts w:cs="Calibri"/>
          <w:color w:val="000000" w:themeColor="text1"/>
        </w:rPr>
        <w:t>Performativity</w:t>
      </w:r>
      <w:r w:rsidR="00C86E71">
        <w:rPr>
          <w:rFonts w:cs="Calibri"/>
          <w:color w:val="000000" w:themeColor="text1"/>
        </w:rPr>
        <w:t xml:space="preserve"> –</w:t>
      </w:r>
    </w:p>
    <w:p w14:paraId="4A0AC9A8" w14:textId="77777777" w:rsidR="006C6DAE" w:rsidRPr="00742C76" w:rsidRDefault="006C6DAE" w:rsidP="006C6DAE">
      <w:pPr>
        <w:pStyle w:val="Heading4"/>
        <w:rPr>
          <w:rFonts w:cs="Calibri"/>
        </w:rPr>
      </w:pPr>
      <w:r w:rsidRPr="00742C76">
        <w:rPr>
          <w:rFonts w:cs="Calibri"/>
        </w:rPr>
        <w:t xml:space="preserve">Contention – </w:t>
      </w:r>
    </w:p>
    <w:p w14:paraId="1AE7208E" w14:textId="77777777" w:rsidR="006C6DAE" w:rsidRPr="00742C76" w:rsidRDefault="006C6DAE" w:rsidP="006C6DAE">
      <w:pPr>
        <w:pStyle w:val="Heading4"/>
        <w:rPr>
          <w:rFonts w:cs="Calibri"/>
        </w:rPr>
      </w:pPr>
      <w:r w:rsidRPr="00742C76">
        <w:rPr>
          <w:rFonts w:cs="Calibri"/>
        </w:rPr>
        <w:t>1] Libertarianism mandates a market-oriented approach to space—that negates</w:t>
      </w:r>
    </w:p>
    <w:p w14:paraId="2FD897FE" w14:textId="77777777" w:rsidR="006C6DAE" w:rsidRPr="00742C76" w:rsidRDefault="006C6DAE" w:rsidP="006C6DAE">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14:paraId="234BABCA" w14:textId="77777777" w:rsidR="006C6DAE" w:rsidRPr="00742C76" w:rsidRDefault="006C6DAE" w:rsidP="006C6DAE">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t>
      </w:r>
      <w:r w:rsidRPr="00742C76">
        <w:rPr>
          <w:rStyle w:val="StyleUnderline"/>
        </w:rPr>
        <w:lastRenderedPageBreak/>
        <w:t xml:space="preserve">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290A26EC" w14:textId="77777777" w:rsidR="006C6DAE" w:rsidRPr="00742C76" w:rsidRDefault="006C6DAE" w:rsidP="006C6DAE">
      <w:pPr>
        <w:pStyle w:val="Heading4"/>
        <w:rPr>
          <w:rStyle w:val="StyleUnderline"/>
          <w:rFonts w:cs="Calibri"/>
          <w:u w:val="none"/>
        </w:rPr>
      </w:pPr>
      <w:r w:rsidRPr="00742C76">
        <w:rPr>
          <w:rStyle w:val="StyleUnderline"/>
          <w:rFonts w:cs="Calibri"/>
          <w:u w:val="none"/>
        </w:rPr>
        <w:t>2] Property rights in space can be consistent with international law</w:t>
      </w:r>
    </w:p>
    <w:p w14:paraId="0583EA9A" w14:textId="77777777" w:rsidR="006C6DAE" w:rsidRPr="00742C76" w:rsidRDefault="006C6DAE" w:rsidP="006C6DAE">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30CBD8A2" w14:textId="77777777" w:rsidR="006C6DAE" w:rsidRPr="00742C76" w:rsidRDefault="006C6DAE" w:rsidP="006C6DAE">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17428BA8" w14:textId="77777777" w:rsidR="006C6DAE" w:rsidRPr="00742C76" w:rsidRDefault="006C6DAE" w:rsidP="006C6DAE">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6979A834" w14:textId="0EE5DC47" w:rsidR="00E42E4C" w:rsidRDefault="00E42E4C" w:rsidP="00F601E6"/>
    <w:p w14:paraId="23405AE0" w14:textId="2FCC3099" w:rsidR="00C86E71" w:rsidRDefault="00C86E71" w:rsidP="00C86E71">
      <w:pPr>
        <w:pStyle w:val="Heading1"/>
      </w:pPr>
      <w:r>
        <w:lastRenderedPageBreak/>
        <w:t>Accessibility</w:t>
      </w:r>
    </w:p>
    <w:p w14:paraId="47712271" w14:textId="5C33FB49" w:rsidR="00C86E71" w:rsidRDefault="00C86E71" w:rsidP="00C86E71">
      <w:pPr>
        <w:pStyle w:val="Heading2"/>
      </w:pPr>
      <w:r>
        <w:lastRenderedPageBreak/>
        <w:t>2</w:t>
      </w:r>
    </w:p>
    <w:p w14:paraId="0F8ADF4C" w14:textId="77777777" w:rsidR="00C86E71" w:rsidRDefault="00C86E71" w:rsidP="00C86E71">
      <w:pPr>
        <w:pStyle w:val="Heading4"/>
      </w:pPr>
      <w:r w:rsidRPr="004D2AAB">
        <w:t xml:space="preserve">The AFF insists you presume their side in instances of uncertainty, this is the very foundation of rape culture and perpetuates the passive voice of the </w:t>
      </w:r>
      <w:r>
        <w:t>survivors</w:t>
      </w:r>
      <w:r w:rsidRPr="004D2AAB">
        <w:t xml:space="preserve"> of sexual violence and reinforces the notion that this violence is acceptable.</w:t>
      </w:r>
    </w:p>
    <w:p w14:paraId="513BF7EF" w14:textId="253F2920" w:rsidR="00C86E71" w:rsidRDefault="00C86E71" w:rsidP="00C86E71">
      <w:pPr>
        <w:rPr>
          <w:rStyle w:val="Style13ptBold"/>
        </w:rPr>
      </w:pPr>
      <w:r w:rsidRPr="004D2AAB">
        <w:rPr>
          <w:rStyle w:val="Style13ptBold"/>
        </w:rPr>
        <w:t>Fraser ’15</w:t>
      </w:r>
    </w:p>
    <w:p w14:paraId="2BEEC9F0" w14:textId="4C3A30DB" w:rsidR="00C86E71" w:rsidRPr="00C86E71" w:rsidRDefault="00C86E71" w:rsidP="00C86E71">
      <w:r w:rsidRPr="00C86E71">
        <w:t>sexual violence against women</w:t>
      </w:r>
      <w:r>
        <w:t xml:space="preserve"> </w:t>
      </w:r>
      <w:r w:rsidRPr="00C86E71">
        <w:t>analyzed with an eye to the causal significance of misogyny</w:t>
      </w:r>
      <w:r>
        <w:t xml:space="preserve"> </w:t>
      </w:r>
      <w:r w:rsidRPr="00C86E71">
        <w:t>chivalry), in the perpetuation of rape culture</w:t>
      </w:r>
      <w:r>
        <w:t xml:space="preserve"> </w:t>
      </w:r>
      <w:r w:rsidRPr="00C86E71">
        <w:t>normalizes</w:t>
      </w:r>
      <w:r>
        <w:t xml:space="preserve"> </w:t>
      </w:r>
      <w:r w:rsidRPr="00C86E71">
        <w:t>violence</w:t>
      </w:r>
      <w:r>
        <w:t xml:space="preserve"> </w:t>
      </w:r>
      <w:r w:rsidRPr="00C86E71">
        <w:t>The legal treatment of women’s rape and sexual harassment claims</w:t>
      </w:r>
      <w:r>
        <w:t xml:space="preserve"> </w:t>
      </w:r>
      <w:r w:rsidRPr="00C86E71">
        <w:t xml:space="preserve">socially, and legally to </w:t>
      </w:r>
      <w:proofErr w:type="gramStart"/>
      <w:r w:rsidRPr="00C86E71">
        <w:t>a the</w:t>
      </w:r>
      <w:proofErr w:type="gramEnd"/>
      <w:r w:rsidRPr="00C86E71">
        <w:t xml:space="preserve"> role of passive receptivity—forced to prove an absence of consent as men are taught to assume its presence</w:t>
      </w:r>
    </w:p>
    <w:p w14:paraId="03198992" w14:textId="220332A1" w:rsidR="00C86E71" w:rsidRDefault="00C86E71" w:rsidP="00C86E71"/>
    <w:p w14:paraId="12B1461C" w14:textId="77777777" w:rsidR="00C86E71" w:rsidRDefault="00C86E71" w:rsidP="00C86E71">
      <w:pPr>
        <w:pStyle w:val="Heading4"/>
      </w:pPr>
      <w:r w:rsidRPr="004D2AAB">
        <w:t>This presumption is the cause of repeated sexual violence and the dominant ideology that justifies sexism and exploitation.</w:t>
      </w:r>
    </w:p>
    <w:p w14:paraId="665B3C7C" w14:textId="35DB5CCA" w:rsidR="00C86E71" w:rsidRDefault="00C86E71" w:rsidP="00C86E71">
      <w:proofErr w:type="spellStart"/>
      <w:r w:rsidRPr="004D2AAB">
        <w:rPr>
          <w:rStyle w:val="Style13ptBold"/>
        </w:rPr>
        <w:t>Krohn</w:t>
      </w:r>
      <w:proofErr w:type="spellEnd"/>
      <w:r w:rsidRPr="004D2AAB">
        <w:rPr>
          <w:rStyle w:val="Style13ptBold"/>
        </w:rPr>
        <w:t xml:space="preserve"> ’14</w:t>
      </w:r>
    </w:p>
    <w:p w14:paraId="12EF38DF" w14:textId="19EB225B" w:rsidR="00C86E71" w:rsidRPr="00C86E71" w:rsidRDefault="00C86E71" w:rsidP="00C86E71">
      <w:r w:rsidRPr="00C86E71">
        <w:t>those who are presumed to say yes and those who are presumed to say no</w:t>
      </w:r>
      <w:r>
        <w:t xml:space="preserve"> </w:t>
      </w:r>
      <w:r w:rsidRPr="00C86E71">
        <w:t>This</w:t>
      </w:r>
      <w:r>
        <w:t xml:space="preserve"> </w:t>
      </w:r>
      <w:r w:rsidRPr="00C86E71">
        <w:t>has provoked</w:t>
      </w:r>
      <w:r>
        <w:t xml:space="preserve"> </w:t>
      </w:r>
      <w:r w:rsidRPr="00C86E71">
        <w:t>criticism that feminist advocates focus so intently on the victimization of women</w:t>
      </w:r>
      <w:r>
        <w:t xml:space="preserve"> </w:t>
      </w:r>
      <w:r w:rsidRPr="00C86E71">
        <w:t>disempowerment by</w:t>
      </w:r>
      <w:r>
        <w:t xml:space="preserve"> </w:t>
      </w:r>
      <w:r w:rsidRPr="00C86E71">
        <w:t>weakness and vulnerability</w:t>
      </w:r>
      <w:r>
        <w:t xml:space="preserve"> </w:t>
      </w:r>
      <w:r w:rsidRPr="00C86E71">
        <w:t>with an overall attitude towards sexuality that is grim and obsessed with exploitation.</w:t>
      </w:r>
    </w:p>
    <w:p w14:paraId="5C22116C" w14:textId="40333EDF" w:rsidR="00C86E71" w:rsidRPr="00C86E71" w:rsidRDefault="00C86E71" w:rsidP="00C86E71"/>
    <w:p w14:paraId="0D6E6630" w14:textId="08FFC695" w:rsidR="00C86E71" w:rsidRDefault="00C86E71" w:rsidP="00C86E71">
      <w:pPr>
        <w:pStyle w:val="Heading2"/>
      </w:pPr>
      <w:r>
        <w:lastRenderedPageBreak/>
        <w:t>3</w:t>
      </w:r>
    </w:p>
    <w:p w14:paraId="205DC4AC" w14:textId="77777777" w:rsidR="00C86E71" w:rsidRPr="00742C76" w:rsidRDefault="00C86E71" w:rsidP="00C86E71">
      <w:pPr>
        <w:pStyle w:val="Heading4"/>
        <w:rPr>
          <w:rFonts w:cs="Calibri"/>
        </w:rPr>
      </w:pPr>
      <w:r w:rsidRPr="00742C76">
        <w:rPr>
          <w:rFonts w:cs="Calibri"/>
        </w:rPr>
        <w:t>The state is obligated to prioritize freedom.</w:t>
      </w:r>
    </w:p>
    <w:p w14:paraId="5772063D" w14:textId="484EB933" w:rsidR="00C86E71" w:rsidRDefault="00C86E71" w:rsidP="00C86E71">
      <w:proofErr w:type="spellStart"/>
      <w:r w:rsidRPr="00742C76">
        <w:rPr>
          <w:rStyle w:val="StyleUnderline"/>
          <w:bCs/>
        </w:rPr>
        <w:t>Otteson</w:t>
      </w:r>
      <w:proofErr w:type="spellEnd"/>
      <w:r w:rsidRPr="00742C76">
        <w:rPr>
          <w:rStyle w:val="StyleUnderline"/>
          <w:bCs/>
        </w:rPr>
        <w:t xml:space="preserve"> 09</w:t>
      </w:r>
    </w:p>
    <w:p w14:paraId="0756A64E" w14:textId="7CC8161D" w:rsidR="00C86E71" w:rsidRDefault="00C86E71" w:rsidP="00C86E71">
      <w:r>
        <w:t>agency</w:t>
      </w:r>
      <w:r>
        <w:t xml:space="preserve"> </w:t>
      </w:r>
      <w:r>
        <w:t>set</w:t>
      </w:r>
      <w:r>
        <w:t xml:space="preserve"> </w:t>
      </w:r>
      <w:r>
        <w:t>limits on the</w:t>
      </w:r>
      <w:r>
        <w:t xml:space="preserve"> </w:t>
      </w:r>
      <w:r>
        <w:t>state</w:t>
      </w:r>
      <w:r>
        <w:t xml:space="preserve"> </w:t>
      </w:r>
      <w:r>
        <w:t>the only “coercive laws” to which individuals may rationally allow</w:t>
      </w:r>
      <w:r>
        <w:t xml:space="preserve"> </w:t>
      </w:r>
      <w:r>
        <w:t>are those that require respect for</w:t>
      </w:r>
      <w:r>
        <w:t xml:space="preserve"> </w:t>
      </w:r>
      <w:r>
        <w:t>agency</w:t>
      </w:r>
      <w:r>
        <w:t xml:space="preserve"> </w:t>
      </w:r>
      <w:r>
        <w:t>human progress is</w:t>
      </w:r>
      <w:r>
        <w:t xml:space="preserve"> </w:t>
      </w:r>
      <w:r>
        <w:t>possible only under a state that defends individual freedom.</w:t>
      </w:r>
      <w:r>
        <w:t xml:space="preserve"> </w:t>
      </w:r>
      <w:r>
        <w:t>happiness is a great but ancillary benefit.</w:t>
      </w:r>
      <w:r>
        <w:t xml:space="preserve"> </w:t>
      </w:r>
      <w:r>
        <w:t>the reason we leave the state of nature is to secure</w:t>
      </w:r>
      <w:r>
        <w:t xml:space="preserve"> </w:t>
      </w:r>
      <w:r>
        <w:t>maximum freedom compatible with the same freedom of</w:t>
      </w:r>
      <w:r>
        <w:t xml:space="preserve"> </w:t>
      </w:r>
      <w:r>
        <w:t>others.</w:t>
      </w:r>
    </w:p>
    <w:p w14:paraId="23055671" w14:textId="77777777" w:rsidR="00C86E71" w:rsidRDefault="00C86E71" w:rsidP="00C86E71"/>
    <w:p w14:paraId="741CD088" w14:textId="77777777" w:rsidR="00C86E71" w:rsidRPr="00742C76" w:rsidRDefault="00C86E71" w:rsidP="00C86E71">
      <w:pPr>
        <w:pStyle w:val="Heading4"/>
        <w:rPr>
          <w:rFonts w:cs="Calibri"/>
        </w:rPr>
      </w:pPr>
      <w:r w:rsidRPr="00742C76">
        <w:rPr>
          <w:rFonts w:cs="Calibri"/>
        </w:rPr>
        <w:t>1] Libertarianism mandates a market-oriented approach to space—that negates</w:t>
      </w:r>
    </w:p>
    <w:p w14:paraId="2689F329" w14:textId="1078DBE2" w:rsidR="00C86E71" w:rsidRDefault="00C86E71" w:rsidP="00C86E71">
      <w:r w:rsidRPr="00742C76">
        <w:rPr>
          <w:rStyle w:val="Style13ptBold"/>
        </w:rPr>
        <w:t>Broker 20</w:t>
      </w:r>
    </w:p>
    <w:p w14:paraId="67D5CC9F" w14:textId="35ADED60" w:rsidR="00C86E71" w:rsidRDefault="00C86E71" w:rsidP="00C86E71">
      <w:r>
        <w:t>private</w:t>
      </w:r>
      <w:r>
        <w:t xml:space="preserve"> </w:t>
      </w:r>
      <w:r>
        <w:t>investment</w:t>
      </w:r>
      <w:r>
        <w:t xml:space="preserve"> </w:t>
      </w:r>
      <w:r>
        <w:t>is</w:t>
      </w:r>
      <w:r>
        <w:t xml:space="preserve"> </w:t>
      </w:r>
      <w:r>
        <w:t>moving space exploration</w:t>
      </w:r>
      <w:r>
        <w:t xml:space="preserve"> </w:t>
      </w:r>
      <w:r>
        <w:t>in the rapidly near future, the distinction between a nonpublic</w:t>
      </w:r>
      <w:r>
        <w:t xml:space="preserve"> </w:t>
      </w:r>
      <w:r>
        <w:t>or</w:t>
      </w:r>
      <w:r>
        <w:t xml:space="preserve"> </w:t>
      </w:r>
      <w:r>
        <w:t>public good will be</w:t>
      </w:r>
      <w:r>
        <w:t xml:space="preserve"> </w:t>
      </w:r>
      <w:r>
        <w:t>meaningless.</w:t>
      </w:r>
      <w:r>
        <w:t xml:space="preserve"> </w:t>
      </w:r>
      <w:r>
        <w:t>the exploitation of human labor and fragile Earth ecosystem makes no economic sense</w:t>
      </w:r>
      <w:r>
        <w:t xml:space="preserve"> </w:t>
      </w:r>
      <w:r>
        <w:t>Only a libertarian-type system, that guarantees basic individual rights</w:t>
      </w:r>
      <w:r>
        <w:t xml:space="preserve"> </w:t>
      </w:r>
      <w:r>
        <w:t>could be valued</w:t>
      </w:r>
    </w:p>
    <w:p w14:paraId="51475192" w14:textId="77777777" w:rsidR="00C86E71" w:rsidRDefault="00C86E71" w:rsidP="00C86E71"/>
    <w:p w14:paraId="5EDFAA53" w14:textId="2B28607C" w:rsidR="00C86E71" w:rsidRPr="00742C76" w:rsidRDefault="00C86E71" w:rsidP="00C86E71">
      <w:pPr>
        <w:pStyle w:val="Heading4"/>
        <w:rPr>
          <w:rStyle w:val="StyleUnderline"/>
          <w:rFonts w:cs="Calibri"/>
          <w:u w:val="none"/>
        </w:rPr>
      </w:pPr>
      <w:r w:rsidRPr="00742C76">
        <w:rPr>
          <w:rStyle w:val="StyleUnderline"/>
          <w:rFonts w:cs="Calibri"/>
          <w:u w:val="none"/>
        </w:rPr>
        <w:t>Property rights in space can be consistent with international law</w:t>
      </w:r>
      <w:r>
        <w:rPr>
          <w:rStyle w:val="StyleUnderline"/>
          <w:rFonts w:cs="Calibri"/>
          <w:u w:val="none"/>
        </w:rPr>
        <w:t>.</w:t>
      </w:r>
    </w:p>
    <w:p w14:paraId="7C8C7FE1" w14:textId="45961ECC" w:rsidR="00C86E71" w:rsidRDefault="00C86E71" w:rsidP="00C86E71">
      <w:proofErr w:type="spellStart"/>
      <w:r w:rsidRPr="00742C76">
        <w:rPr>
          <w:rStyle w:val="Style13ptBold"/>
        </w:rPr>
        <w:t>Simberg</w:t>
      </w:r>
      <w:proofErr w:type="spellEnd"/>
      <w:r w:rsidRPr="00742C76">
        <w:rPr>
          <w:rStyle w:val="Style13ptBold"/>
        </w:rPr>
        <w:t xml:space="preserve"> 12</w:t>
      </w:r>
    </w:p>
    <w:p w14:paraId="3B107403" w14:textId="546E01FF" w:rsidR="00C86E71" w:rsidRPr="00C86E71" w:rsidRDefault="00C86E71" w:rsidP="00C86E71">
      <w:r w:rsidRPr="00C86E71">
        <w:t xml:space="preserve">the Moon Treaty is a refutation or else there would be no need for another treaty Under the treaty, it would be possible for a government to recognize the property who met conditions, </w:t>
      </w:r>
      <w:proofErr w:type="gramStart"/>
      <w:r w:rsidRPr="00C86E71">
        <w:t>Such</w:t>
      </w:r>
      <w:proofErr w:type="gramEnd"/>
      <w:r w:rsidRPr="00C86E71">
        <w:t xml:space="preserve"> cooperation need physical force This provides support for the concept of individual claims</w:t>
      </w:r>
    </w:p>
    <w:p w14:paraId="2FD07C70" w14:textId="71A68A74" w:rsidR="00C86E71" w:rsidRDefault="00C86E71" w:rsidP="00C86E71"/>
    <w:p w14:paraId="554261CF" w14:textId="77777777" w:rsidR="00C86E71" w:rsidRPr="00C86E71" w:rsidRDefault="00C86E71" w:rsidP="00C86E71"/>
    <w:sectPr w:rsidR="00C86E71" w:rsidRPr="00C86E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6D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02B2"/>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C6DAE"/>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86E71"/>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D430C"/>
  <w14:defaultImageDpi w14:val="300"/>
  <w15:docId w15:val="{123F758C-A4BD-8440-A5B8-1272E8E6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6DAE"/>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6C6D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6D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6D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6C6DAE"/>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6C6D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6DAE"/>
  </w:style>
  <w:style w:type="character" w:customStyle="1" w:styleId="Heading1Char">
    <w:name w:val="Heading 1 Char"/>
    <w:aliases w:val="Pocket Char"/>
    <w:basedOn w:val="DefaultParagraphFont"/>
    <w:link w:val="Heading1"/>
    <w:uiPriority w:val="9"/>
    <w:rsid w:val="006C6DA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C6DA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C6DAE"/>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6C6DAE"/>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C6DAE"/>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6C6DAE"/>
    <w:rPr>
      <w:b w:val="0"/>
      <w:sz w:val="26"/>
      <w:u w:val="single"/>
    </w:rPr>
  </w:style>
  <w:style w:type="character" w:styleId="Emphasis">
    <w:name w:val="Emphasis"/>
    <w:basedOn w:val="DefaultParagraphFont"/>
    <w:uiPriority w:val="20"/>
    <w:qFormat/>
    <w:rsid w:val="006C6DAE"/>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6C6DA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6C6DAE"/>
    <w:rPr>
      <w:color w:val="auto"/>
      <w:u w:val="none"/>
    </w:rPr>
  </w:style>
  <w:style w:type="paragraph" w:styleId="DocumentMap">
    <w:name w:val="Document Map"/>
    <w:basedOn w:val="Normal"/>
    <w:link w:val="DocumentMapChar"/>
    <w:uiPriority w:val="99"/>
    <w:semiHidden/>
    <w:unhideWhenUsed/>
    <w:rsid w:val="006C6D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6DA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9</Pages>
  <Words>4074</Words>
  <Characters>21881</Characters>
  <Application>Microsoft Office Word</Application>
  <DocSecurity>0</DocSecurity>
  <Lines>331</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2022-01-15T15:52:00Z</dcterms:created>
  <dcterms:modified xsi:type="dcterms:W3CDTF">2022-01-15T16:04:00Z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