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3B34B" w14:textId="77777777" w:rsidR="002D1BAE" w:rsidRDefault="002D1BAE" w:rsidP="002D1BAE">
      <w:pPr>
        <w:pStyle w:val="Heading3"/>
      </w:pPr>
      <w:r>
        <w:t>Framing</w:t>
      </w:r>
    </w:p>
    <w:p w14:paraId="5D305FD4" w14:textId="77777777" w:rsidR="002D1BAE" w:rsidRPr="004E0D3B" w:rsidRDefault="002D1BAE" w:rsidP="002D1BAE">
      <w:pPr>
        <w:pStyle w:val="Heading4"/>
      </w:pPr>
      <w:r w:rsidRPr="004F7019">
        <w:t xml:space="preserve">The meta-ethic is </w:t>
      </w:r>
      <w:r w:rsidRPr="004E0D3B">
        <w:rPr>
          <w:u w:val="single"/>
        </w:rPr>
        <w:t>Procedural Moral Realism</w:t>
      </w:r>
      <w:r>
        <w:t>.</w:t>
      </w:r>
    </w:p>
    <w:p w14:paraId="23D91F9C" w14:textId="77777777" w:rsidR="002D1BAE" w:rsidRDefault="002D1BAE" w:rsidP="002D1BAE">
      <w:pPr>
        <w:pStyle w:val="Heading4"/>
      </w:pPr>
      <w:r>
        <w:t>[1</w:t>
      </w:r>
      <w:r w:rsidRPr="004F7019">
        <w:t xml:space="preserve">] </w:t>
      </w:r>
      <w:r>
        <w:t>C</w:t>
      </w:r>
      <w:r w:rsidRPr="004F7019">
        <w:t>ollapses –</w:t>
      </w:r>
    </w:p>
    <w:p w14:paraId="5B9E641C" w14:textId="77777777" w:rsidR="002D1BAE" w:rsidRDefault="002D1BAE" w:rsidP="002D1BAE">
      <w:pPr>
        <w:pStyle w:val="Heading4"/>
      </w:pPr>
      <w:r>
        <w:t>[2</w:t>
      </w:r>
      <w:r w:rsidRPr="00472885">
        <w:t>] Uncertainty –</w:t>
      </w:r>
    </w:p>
    <w:p w14:paraId="6673681A" w14:textId="77777777" w:rsidR="002D1BAE" w:rsidRDefault="002D1BAE" w:rsidP="002D1BAE">
      <w:pPr>
        <w:pStyle w:val="Heading4"/>
      </w:pPr>
      <w:r>
        <w:t>[3</w:t>
      </w:r>
      <w:r w:rsidRPr="00472885">
        <w:t>] Is/Ought Gap –</w:t>
      </w:r>
    </w:p>
    <w:p w14:paraId="746D96CB" w14:textId="77777777" w:rsidR="002D1BAE" w:rsidRPr="00B2228A" w:rsidRDefault="002D1BAE" w:rsidP="002D1BAE">
      <w:pPr>
        <w:pStyle w:val="Heading4"/>
      </w:pPr>
      <w:r>
        <w:t>Practical reason is that procedure –</w:t>
      </w:r>
    </w:p>
    <w:p w14:paraId="2B3ED26C" w14:textId="77777777" w:rsidR="002D1BAE" w:rsidRPr="00A955DD" w:rsidRDefault="002D1BAE" w:rsidP="002D1BAE">
      <w:pPr>
        <w:pStyle w:val="Heading4"/>
      </w:pPr>
      <w:r>
        <w:t>Moral law must be universal –</w:t>
      </w:r>
    </w:p>
    <w:p w14:paraId="241B49A2" w14:textId="77777777" w:rsidR="002D1BAE" w:rsidRDefault="002D1BAE" w:rsidP="002D1BAE">
      <w:pPr>
        <w:pStyle w:val="Heading4"/>
      </w:pPr>
      <w:r>
        <w:t xml:space="preserve">Thus, the standard is </w:t>
      </w:r>
      <w:r w:rsidRPr="00C90568">
        <w:rPr>
          <w:u w:val="single"/>
        </w:rPr>
        <w:t>Consistency with The Categorical Imperative</w:t>
      </w:r>
      <w:r>
        <w:t>.</w:t>
      </w:r>
    </w:p>
    <w:p w14:paraId="730D4ED0" w14:textId="77777777" w:rsidR="002D1BAE" w:rsidRDefault="002D1BAE" w:rsidP="002D1BAE">
      <w:pPr>
        <w:pStyle w:val="Heading4"/>
      </w:pPr>
      <w:r>
        <w:t>Prefer:</w:t>
      </w:r>
    </w:p>
    <w:p w14:paraId="609570D4" w14:textId="61EEEE10" w:rsidR="002D1BAE" w:rsidRDefault="002D1BAE" w:rsidP="002D1BAE">
      <w:pPr>
        <w:pStyle w:val="Heading4"/>
      </w:pPr>
      <w:r>
        <w:t xml:space="preserve">[1] </w:t>
      </w:r>
      <w:r w:rsidRPr="000A5608">
        <w:t>Performativity</w:t>
      </w:r>
      <w:r>
        <w:t xml:space="preserve"> – </w:t>
      </w:r>
    </w:p>
    <w:p w14:paraId="60166B2D" w14:textId="10894BA2" w:rsidR="002D1BAE" w:rsidRDefault="002D1BAE" w:rsidP="002D1BAE">
      <w:pPr>
        <w:pStyle w:val="Heading4"/>
      </w:pPr>
      <w:r>
        <w:t>[2]</w:t>
      </w:r>
      <w:r w:rsidRPr="00C90568">
        <w:t xml:space="preserve"> </w:t>
      </w:r>
      <w:r>
        <w:t>Humanity Principle –</w:t>
      </w:r>
    </w:p>
    <w:p w14:paraId="571A8858" w14:textId="77777777" w:rsidR="002D1BAE" w:rsidRDefault="002D1BAE" w:rsidP="002D1BAE">
      <w:pPr>
        <w:pStyle w:val="Heading4"/>
      </w:pPr>
      <w:r>
        <w:t xml:space="preserve">[3] </w:t>
      </w:r>
      <w:r w:rsidRPr="004F1E29">
        <w:t xml:space="preserve">Ethical frameworks must be theoretically legitimate. All frameworks are functionally topicality interpretations of the word ought so they must theoretically </w:t>
      </w:r>
      <w:proofErr w:type="gramStart"/>
      <w:r w:rsidRPr="004F1E29">
        <w:t>justified</w:t>
      </w:r>
      <w:proofErr w:type="gramEnd"/>
      <w:r w:rsidRPr="004F1E29">
        <w:t>. Prefer our standard –</w:t>
      </w:r>
    </w:p>
    <w:p w14:paraId="2FED807F" w14:textId="6F22AF91" w:rsidR="002D1BAE" w:rsidRDefault="002D1BAE" w:rsidP="002D1BAE">
      <w:pPr>
        <w:pStyle w:val="Heading4"/>
      </w:pPr>
      <w:r>
        <w:t xml:space="preserve">A] </w:t>
      </w:r>
      <w:r w:rsidRPr="005B0098">
        <w:t>Resolvability</w:t>
      </w:r>
      <w:r>
        <w:t xml:space="preserve"> –</w:t>
      </w:r>
    </w:p>
    <w:p w14:paraId="45674A86" w14:textId="09C5C5DF" w:rsidR="002D1BAE" w:rsidRDefault="002D1BAE" w:rsidP="002D1BAE">
      <w:pPr>
        <w:pStyle w:val="Heading4"/>
      </w:pPr>
      <w:r>
        <w:t xml:space="preserve">B] </w:t>
      </w:r>
      <w:r w:rsidRPr="004F1E29">
        <w:t xml:space="preserve">Resource Disparities </w:t>
      </w:r>
      <w:r>
        <w:t>–</w:t>
      </w:r>
    </w:p>
    <w:p w14:paraId="26A2CDF9" w14:textId="77777777" w:rsidR="002D1BAE" w:rsidRPr="009E037C" w:rsidRDefault="002D1BAE" w:rsidP="002D1BAE">
      <w:pPr>
        <w:pStyle w:val="Heading4"/>
      </w:pPr>
      <w:r>
        <w:t xml:space="preserve">[4] </w:t>
      </w:r>
      <w:proofErr w:type="spellStart"/>
      <w:r>
        <w:t>Abductivism</w:t>
      </w:r>
      <w:proofErr w:type="spellEnd"/>
      <w:r>
        <w:t xml:space="preserve"> disproves the best guess – normative judgements require certainty which necessitates deductive foundations.</w:t>
      </w:r>
    </w:p>
    <w:p w14:paraId="4EC49462" w14:textId="77777777" w:rsidR="002D1BAE" w:rsidRPr="00A66CEC" w:rsidRDefault="002D1BAE" w:rsidP="002D1BAE">
      <w:proofErr w:type="spellStart"/>
      <w:r w:rsidRPr="00A66CEC">
        <w:rPr>
          <w:rStyle w:val="Style13ptBold"/>
        </w:rPr>
        <w:t>Douven</w:t>
      </w:r>
      <w:proofErr w:type="spellEnd"/>
      <w:r w:rsidRPr="00A66CEC">
        <w:rPr>
          <w:rStyle w:val="Style13ptBold"/>
        </w:rPr>
        <w:t xml:space="preserve"> 17</w:t>
      </w:r>
      <w:r w:rsidRPr="00A66CEC">
        <w:rPr>
          <w:sz w:val="16"/>
          <w:szCs w:val="16"/>
        </w:rPr>
        <w:t xml:space="preserve">, Igor, "Abduction", The Stanford Encyclopedia of Philosophy (Summer 2017 Edition), Edward N. </w:t>
      </w:r>
      <w:proofErr w:type="spellStart"/>
      <w:r w:rsidRPr="00A66CEC">
        <w:rPr>
          <w:sz w:val="16"/>
          <w:szCs w:val="16"/>
        </w:rPr>
        <w:t>Zalta</w:t>
      </w:r>
      <w:proofErr w:type="spellEnd"/>
      <w:r w:rsidRPr="00A66CEC">
        <w:rPr>
          <w:sz w:val="16"/>
          <w:szCs w:val="16"/>
        </w:rPr>
        <w:t> (ed.), URL = &lt;https://plato.stanford.edu/archives/sum2017/entries/abduction/&gt;. //Massa</w:t>
      </w:r>
    </w:p>
    <w:p w14:paraId="667D6604" w14:textId="77777777" w:rsidR="002D1BAE" w:rsidRPr="00C90568" w:rsidRDefault="002D1BAE" w:rsidP="002D1BAE">
      <w:pPr>
        <w:rPr>
          <w:sz w:val="16"/>
          <w:szCs w:val="16"/>
        </w:rPr>
      </w:pPr>
      <w:r w:rsidRPr="0002464E">
        <w:rPr>
          <w:rStyle w:val="Emphasis"/>
          <w:highlight w:val="green"/>
        </w:rPr>
        <w:t>You</w:t>
      </w:r>
      <w:r w:rsidRPr="002114EB">
        <w:t xml:space="preserve"> </w:t>
      </w:r>
      <w:r w:rsidRPr="009E037C">
        <w:rPr>
          <w:sz w:val="16"/>
        </w:rPr>
        <w:t xml:space="preserve">happen to </w:t>
      </w:r>
      <w:r w:rsidRPr="0002464E">
        <w:rPr>
          <w:rStyle w:val="Emphasis"/>
          <w:highlight w:val="green"/>
        </w:rPr>
        <w:t>know</w:t>
      </w:r>
      <w:r w:rsidRPr="009E037C">
        <w:rPr>
          <w:b/>
          <w:bCs/>
          <w:szCs w:val="26"/>
          <w:u w:val="single"/>
        </w:rPr>
        <w:t xml:space="preserve"> that </w:t>
      </w:r>
      <w:r w:rsidRPr="0002464E">
        <w:rPr>
          <w:rStyle w:val="Emphasis"/>
          <w:highlight w:val="green"/>
        </w:rPr>
        <w:t>Tim and Harry</w:t>
      </w:r>
      <w:r w:rsidRPr="009E037C">
        <w:rPr>
          <w:b/>
          <w:bCs/>
          <w:szCs w:val="26"/>
          <w:u w:val="single"/>
        </w:rPr>
        <w:t xml:space="preserve"> have recently </w:t>
      </w:r>
      <w:r w:rsidRPr="00A66CEC">
        <w:rPr>
          <w:rStyle w:val="Emphasis"/>
        </w:rPr>
        <w:t>had a</w:t>
      </w:r>
      <w:r w:rsidRPr="00A66CEC">
        <w:rPr>
          <w:b/>
          <w:bCs/>
          <w:szCs w:val="26"/>
          <w:u w:val="single"/>
        </w:rPr>
        <w:t xml:space="preserve"> terrible </w:t>
      </w:r>
      <w:r w:rsidRPr="00A66CEC">
        <w:rPr>
          <w:rStyle w:val="Emphasis"/>
        </w:rPr>
        <w:t xml:space="preserve">row that </w:t>
      </w:r>
      <w:r w:rsidRPr="0002464E">
        <w:rPr>
          <w:rStyle w:val="Emphasis"/>
          <w:highlight w:val="green"/>
        </w:rPr>
        <w:t>ended their friendship.</w:t>
      </w:r>
      <w:r w:rsidRPr="009E037C">
        <w:rPr>
          <w:sz w:val="16"/>
        </w:rPr>
        <w:t xml:space="preserve"> Now </w:t>
      </w:r>
      <w:r w:rsidRPr="00A66CEC">
        <w:rPr>
          <w:rStyle w:val="Emphasis"/>
        </w:rPr>
        <w:t xml:space="preserve">someone tells </w:t>
      </w:r>
      <w:r w:rsidRPr="0002464E">
        <w:rPr>
          <w:rStyle w:val="Emphasis"/>
          <w:highlight w:val="green"/>
        </w:rPr>
        <w:t>you</w:t>
      </w:r>
      <w:r w:rsidRPr="00A66CEC">
        <w:rPr>
          <w:rStyle w:val="Emphasis"/>
        </w:rPr>
        <w:t xml:space="preserve"> that she just </w:t>
      </w:r>
      <w:r w:rsidRPr="0002464E">
        <w:rPr>
          <w:rStyle w:val="Emphasis"/>
          <w:highlight w:val="green"/>
        </w:rPr>
        <w:t>saw Tim and Harry jogging together.</w:t>
      </w:r>
      <w:r w:rsidRPr="00A66CEC">
        <w:rPr>
          <w:rStyle w:val="Emphasis"/>
        </w:rPr>
        <w:t xml:space="preserve"> The best explanation for this that you can think of is that they made up. </w:t>
      </w:r>
      <w:r w:rsidRPr="0002464E">
        <w:rPr>
          <w:rStyle w:val="Emphasis"/>
          <w:highlight w:val="green"/>
        </w:rPr>
        <w:t>You conclude that they are friends again.</w:t>
      </w:r>
      <w:r w:rsidRPr="002114EB">
        <w:t xml:space="preserve"> </w:t>
      </w:r>
      <w:r w:rsidRPr="009E037C">
        <w:rPr>
          <w:sz w:val="16"/>
        </w:rPr>
        <w:t xml:space="preserve">One morning </w:t>
      </w:r>
      <w:r w:rsidRPr="00A36821">
        <w:rPr>
          <w:rStyle w:val="Emphasis"/>
        </w:rPr>
        <w:t>you enter the kitchen to find a plate</w:t>
      </w:r>
      <w:r w:rsidRPr="00A36821">
        <w:rPr>
          <w:b/>
          <w:bCs/>
          <w:szCs w:val="26"/>
          <w:u w:val="single"/>
        </w:rPr>
        <w:t xml:space="preserve"> and cup on the table</w:t>
      </w:r>
      <w:r w:rsidRPr="00A36821">
        <w:rPr>
          <w:sz w:val="16"/>
        </w:rPr>
        <w:t xml:space="preserve">, with breadcrumbs and a pat of butter on it, and surrounded by a jar of jam, a pack of sugar, and an empty carton of milk. </w:t>
      </w:r>
      <w:r w:rsidRPr="00A36821">
        <w:rPr>
          <w:rStyle w:val="Emphasis"/>
        </w:rPr>
        <w:t>You conclude</w:t>
      </w:r>
      <w:r w:rsidRPr="00A36821">
        <w:rPr>
          <w:b/>
          <w:bCs/>
          <w:szCs w:val="26"/>
          <w:u w:val="single"/>
        </w:rPr>
        <w:t xml:space="preserve"> that </w:t>
      </w:r>
      <w:r w:rsidRPr="00A36821">
        <w:rPr>
          <w:rStyle w:val="Emphasis"/>
        </w:rPr>
        <w:t xml:space="preserve">one of your </w:t>
      </w:r>
      <w:proofErr w:type="gramStart"/>
      <w:r w:rsidRPr="00A36821">
        <w:rPr>
          <w:rStyle w:val="Emphasis"/>
        </w:rPr>
        <w:t>house-mates</w:t>
      </w:r>
      <w:proofErr w:type="gramEnd"/>
      <w:r w:rsidRPr="00A36821">
        <w:rPr>
          <w:rStyle w:val="Emphasis"/>
        </w:rPr>
        <w:t xml:space="preserve"> got up at night</w:t>
      </w:r>
      <w:r w:rsidRPr="00A36821">
        <w:rPr>
          <w:sz w:val="16"/>
        </w:rPr>
        <w:t xml:space="preserve"> to make him- or herself a midnight snack and was too tired to clear the table. </w:t>
      </w:r>
      <w:r w:rsidRPr="00A36821">
        <w:rPr>
          <w:rStyle w:val="Emphasis"/>
        </w:rPr>
        <w:t>This</w:t>
      </w:r>
      <w:r w:rsidRPr="00A36821">
        <w:rPr>
          <w:b/>
          <w:bCs/>
          <w:szCs w:val="26"/>
          <w:u w:val="single"/>
        </w:rPr>
        <w:t xml:space="preserve">, </w:t>
      </w:r>
      <w:r w:rsidRPr="00A36821">
        <w:rPr>
          <w:rStyle w:val="Emphasis"/>
        </w:rPr>
        <w:t>you think, best explains the scene</w:t>
      </w:r>
      <w:r w:rsidRPr="00A36821">
        <w:rPr>
          <w:b/>
          <w:bCs/>
          <w:szCs w:val="26"/>
          <w:u w:val="single"/>
        </w:rPr>
        <w:t xml:space="preserve"> you are facing. To be sure, </w:t>
      </w:r>
      <w:r w:rsidRPr="00A36821">
        <w:rPr>
          <w:rStyle w:val="Emphasis"/>
        </w:rPr>
        <w:t>it might be that someone burgled the house and took</w:t>
      </w:r>
      <w:r w:rsidRPr="00A36821">
        <w:rPr>
          <w:b/>
          <w:bCs/>
          <w:szCs w:val="26"/>
          <w:u w:val="single"/>
        </w:rPr>
        <w:t xml:space="preserve"> the time to have </w:t>
      </w:r>
      <w:r w:rsidRPr="00A36821">
        <w:rPr>
          <w:rStyle w:val="Emphasis"/>
        </w:rPr>
        <w:t>a bite</w:t>
      </w:r>
      <w:r w:rsidRPr="00A36821">
        <w:rPr>
          <w:b/>
          <w:bCs/>
          <w:szCs w:val="26"/>
          <w:u w:val="single"/>
        </w:rPr>
        <w:t xml:space="preserve"> while on the job</w:t>
      </w:r>
      <w:r w:rsidRPr="00A36821">
        <w:rPr>
          <w:sz w:val="16"/>
        </w:rPr>
        <w:t xml:space="preserve">, or a </w:t>
      </w:r>
      <w:proofErr w:type="gramStart"/>
      <w:r w:rsidRPr="00A36821">
        <w:rPr>
          <w:sz w:val="16"/>
        </w:rPr>
        <w:t>hous</w:t>
      </w:r>
      <w:r w:rsidRPr="009E037C">
        <w:rPr>
          <w:sz w:val="16"/>
        </w:rPr>
        <w:t>e-mate</w:t>
      </w:r>
      <w:proofErr w:type="gramEnd"/>
      <w:r w:rsidRPr="009E037C">
        <w:rPr>
          <w:sz w:val="16"/>
        </w:rPr>
        <w:t xml:space="preserve"> might have arranged the things on the table without having a midnight snack but just to make you believe that someone had a midnight snack. But these hypotheses strike you as providing much more contrived explanations of the data than the one you infer to. Walking along the beach, you see what looks like a picture of Winston Churchill in the sand. It could be that, as in the opening pages of Hilary Putnam’s (1981), what you see is </w:t>
      </w:r>
      <w:proofErr w:type="gramStart"/>
      <w:r w:rsidRPr="009E037C">
        <w:rPr>
          <w:sz w:val="16"/>
        </w:rPr>
        <w:t>actually the</w:t>
      </w:r>
      <w:proofErr w:type="gramEnd"/>
      <w:r w:rsidRPr="009E037C">
        <w:rPr>
          <w:sz w:val="16"/>
        </w:rPr>
        <w:t xml:space="preserve"> trace of an ant crawling on the beach. The much simpler, and therefore (you think) much better, </w:t>
      </w:r>
      <w:r w:rsidRPr="009E037C">
        <w:rPr>
          <w:sz w:val="16"/>
        </w:rPr>
        <w:lastRenderedPageBreak/>
        <w:t xml:space="preserve">explanation is that someone intentionally drew a picture of Churchill in the sand. That, in any case, is what you come away believing. </w:t>
      </w:r>
      <w:r w:rsidRPr="00A36821">
        <w:rPr>
          <w:rStyle w:val="Emphasis"/>
        </w:rPr>
        <w:t xml:space="preserve">In these examples, </w:t>
      </w:r>
      <w:r w:rsidRPr="0002464E">
        <w:rPr>
          <w:rStyle w:val="Emphasis"/>
          <w:highlight w:val="green"/>
        </w:rPr>
        <w:t>the conclusions do not follow logically from the premises.</w:t>
      </w:r>
      <w:r w:rsidRPr="009E037C">
        <w:rPr>
          <w:sz w:val="16"/>
        </w:rPr>
        <w:t xml:space="preserve"> For instance</w:t>
      </w:r>
      <w:r w:rsidRPr="002114EB">
        <w:rPr>
          <w:sz w:val="16"/>
          <w:szCs w:val="16"/>
        </w:rPr>
        <w:t xml:space="preserve">, </w:t>
      </w:r>
      <w:r w:rsidRPr="0002464E">
        <w:rPr>
          <w:rStyle w:val="Emphasis"/>
          <w:highlight w:val="green"/>
        </w:rPr>
        <w:t>it does not follow</w:t>
      </w:r>
      <w:r w:rsidRPr="009E037C">
        <w:rPr>
          <w:b/>
          <w:bCs/>
          <w:szCs w:val="26"/>
          <w:u w:val="single"/>
        </w:rPr>
        <w:t xml:space="preserve"> logically </w:t>
      </w:r>
      <w:r w:rsidRPr="0002464E">
        <w:rPr>
          <w:rStyle w:val="Emphasis"/>
          <w:highlight w:val="green"/>
        </w:rPr>
        <w:t>that Tim and Harry are friends again from the premises that they had a terrible row</w:t>
      </w:r>
      <w:r w:rsidRPr="009E037C">
        <w:rPr>
          <w:sz w:val="16"/>
        </w:rPr>
        <w:t xml:space="preserve"> which ended their friendship </w:t>
      </w:r>
      <w:r w:rsidRPr="0024062E">
        <w:rPr>
          <w:rStyle w:val="Emphasis"/>
        </w:rPr>
        <w:t>and that they have just been seen jogging together</w:t>
      </w:r>
      <w:r w:rsidRPr="009E037C">
        <w:rPr>
          <w:sz w:val="16"/>
        </w:rPr>
        <w:t>; it does not even follow, we may suppose, from all the information you have about Tim and Harry. Nor do you have any useful statistical data about friendships, terrible rows, and joggers that might warrant an inference from the information that you have about Tim and Harry to the conclusion that they are friends again, or even to the conclusion that, probably (or with a certain probability), they are friends again. What leads you to the conclusion, and what according to a considerable number of philosophers may also warrant this conclusion, is precisely the fact that Tim and Harry’s being friends again would, if true, best explain the fact that they have just been seen jogging together. (The proviso that a hypothesis be true if it is to explain anything is taken as read from here on.) Similar remarks apply to the other two examples. The type of inference exhibited here is called abduction or, somewhat more commonly nowadays, Inference to the Best Explanation.</w:t>
      </w:r>
    </w:p>
    <w:p w14:paraId="092FA2C9" w14:textId="0F2B203A" w:rsidR="002D1BAE" w:rsidRPr="002D1BAE" w:rsidRDefault="002D1BAE" w:rsidP="002D1BAE">
      <w:pPr>
        <w:pStyle w:val="Heading4"/>
      </w:pPr>
      <w:r>
        <w:t>[5] F</w:t>
      </w:r>
      <w:r w:rsidRPr="006C3A52">
        <w:t>rameworks all share equal value</w:t>
      </w:r>
      <w:r>
        <w:t xml:space="preserve"> –</w:t>
      </w:r>
    </w:p>
    <w:p w14:paraId="16E973BD" w14:textId="3C5E1600" w:rsidR="002D1BAE" w:rsidRPr="00D918D9" w:rsidRDefault="002D1BAE" w:rsidP="002D1BAE">
      <w:pPr>
        <w:pStyle w:val="Heading4"/>
      </w:pPr>
      <w:r>
        <w:t>[6] Reason is an epistemic side-constraint on empirical reliability –</w:t>
      </w:r>
    </w:p>
    <w:p w14:paraId="1509C964" w14:textId="77777777" w:rsidR="002D1BAE" w:rsidRDefault="002D1BAE" w:rsidP="002D1BAE">
      <w:pPr>
        <w:pStyle w:val="Heading3"/>
      </w:pPr>
      <w:r>
        <w:lastRenderedPageBreak/>
        <w:t>Offense</w:t>
      </w:r>
    </w:p>
    <w:p w14:paraId="337FCFDB" w14:textId="1C22B0AE" w:rsidR="002D1BAE" w:rsidRPr="00C90568" w:rsidRDefault="002D1BAE" w:rsidP="002D1BAE">
      <w:pPr>
        <w:pStyle w:val="Heading4"/>
      </w:pPr>
      <w:r>
        <w:t xml:space="preserve">I affirm Resolved: </w:t>
      </w:r>
      <w:r w:rsidRPr="00C90568">
        <w:t>The member nations of the World Trade Organization ought to reduce intellectual property protections for medicines.</w:t>
      </w:r>
    </w:p>
    <w:p w14:paraId="4955C5D2" w14:textId="77777777" w:rsidR="002D1BAE" w:rsidRPr="00872631" w:rsidRDefault="002D1BAE" w:rsidP="002D1BAE">
      <w:pPr>
        <w:pStyle w:val="Heading4"/>
        <w:rPr>
          <w:rFonts w:cs="Calibri"/>
        </w:rPr>
      </w:pPr>
      <w:r>
        <w:rPr>
          <w:rFonts w:cs="Calibri"/>
        </w:rPr>
        <w:t xml:space="preserve">[1]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7A92EB24" w14:textId="77777777" w:rsidR="002D1BAE" w:rsidRPr="00872631" w:rsidRDefault="002D1BAE" w:rsidP="002D1BAE">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7153CCD2" w14:textId="77777777" w:rsidR="002D1BAE" w:rsidRPr="00066A83" w:rsidRDefault="002D1BAE" w:rsidP="002D1BAE">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42609F">
        <w:rPr>
          <w:rStyle w:val="Emphasis"/>
          <w:highlight w:val="green"/>
        </w:rPr>
        <w:t>anyone’s use of some</w:t>
      </w:r>
      <w:r w:rsidRPr="0042609F">
        <w:rPr>
          <w:rStyle w:val="Emphasis"/>
        </w:rPr>
        <w:t xml:space="preserve"> vital </w:t>
      </w:r>
      <w:r w:rsidRPr="0042609F">
        <w:rPr>
          <w:rStyle w:val="Emphasis"/>
          <w:highlight w:val="green"/>
        </w:rPr>
        <w:t>thing precludes someone else’s</w:t>
      </w:r>
      <w:r w:rsidRPr="0042609F">
        <w:rPr>
          <w:rStyle w:val="StyleUnderline"/>
        </w:rPr>
        <w:t xml:space="preserve"> </w:t>
      </w:r>
      <w:r w:rsidRPr="00D7721B">
        <w:rPr>
          <w:rStyle w:val="StyleUnderline"/>
        </w:rPr>
        <w:t xml:space="preserve">equally vital </w:t>
      </w:r>
      <w:r w:rsidRPr="0042609F">
        <w:rPr>
          <w:rStyle w:val="Emphasis"/>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42609F">
        <w:rPr>
          <w:rStyle w:val="Emphasis"/>
          <w:highlight w:val="green"/>
        </w:rPr>
        <w:t>given the condition of</w:t>
      </w:r>
      <w:r w:rsidRPr="00872631">
        <w:rPr>
          <w:rStyle w:val="StyleUnderline"/>
        </w:rPr>
        <w:t xml:space="preserve"> extreme relative </w:t>
      </w:r>
      <w:r w:rsidRPr="0042609F">
        <w:rPr>
          <w:rStyle w:val="Emphasis"/>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6E58129" w14:textId="77777777" w:rsidR="002D1BAE" w:rsidRPr="00066A83" w:rsidRDefault="002D1BAE" w:rsidP="002D1BAE">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1D98D8E4" w14:textId="77777777" w:rsidR="002D1BAE" w:rsidRPr="00066A83" w:rsidRDefault="002D1BAE" w:rsidP="002D1BAE">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0BC551E3" w14:textId="77777777" w:rsidR="002D1BAE" w:rsidRPr="00872631" w:rsidRDefault="002D1BAE" w:rsidP="002D1BAE">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 xml:space="preserve">rightful to make </w:t>
      </w:r>
      <w:r w:rsidRPr="0042609F">
        <w:rPr>
          <w:rStyle w:val="Emphasis"/>
          <w:highlight w:val="green"/>
        </w:rPr>
        <w:lastRenderedPageBreak/>
        <w:t>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2BE327A4" w14:textId="77777777" w:rsidR="002D1BAE" w:rsidRPr="00066A83" w:rsidRDefault="002D1BAE" w:rsidP="002D1BAE">
      <w:pPr>
        <w:rPr>
          <w:sz w:val="12"/>
          <w:szCs w:val="12"/>
        </w:rPr>
      </w:pP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066A83">
        <w:rPr>
          <w:sz w:val="12"/>
          <w:szCs w:val="12"/>
        </w:rPr>
        <w:t>non of</w:t>
      </w:r>
      <w:proofErr w:type="spellEnd"/>
      <w:r w:rsidRPr="00066A83">
        <w:rPr>
          <w:sz w:val="12"/>
          <w:szCs w:val="12"/>
        </w:rPr>
        <w:t xml:space="preserve">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p>
    <w:p w14:paraId="44747E91" w14:textId="77777777" w:rsidR="002D1BAE" w:rsidRPr="00D7721B" w:rsidRDefault="002D1BAE" w:rsidP="002D1BAE">
      <w:pPr>
        <w:rPr>
          <w:sz w:val="12"/>
        </w:rPr>
      </w:pPr>
      <w:r w:rsidRPr="00872631">
        <w:rPr>
          <w:rStyle w:val="StyleUnderline"/>
        </w:rPr>
        <w:t>In sum, to use something legitimately it suffices to have a right to use it. That, in brief, is “possession” strictly speaking; in the narrow sense of the term, “</w:t>
      </w:r>
      <w:r w:rsidRPr="0042609F">
        <w:rPr>
          <w:rStyle w:val="Emphasis"/>
          <w:highlight w:val="green"/>
        </w:rPr>
        <w:t xml:space="preserve">possession” involves </w:t>
      </w:r>
      <w:r w:rsidRPr="00E50098">
        <w:rPr>
          <w:rStyle w:val="Emphasis"/>
          <w:highlight w:val="green"/>
        </w:rPr>
        <w:t xml:space="preserve">only the right </w:t>
      </w:r>
      <w:r w:rsidRPr="0042609F">
        <w:rPr>
          <w:rStyle w:val="Emphasis"/>
          <w:highlight w:val="green"/>
        </w:rPr>
        <w:t>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44285F29" w14:textId="77777777" w:rsidR="002D1BAE" w:rsidRPr="00872631" w:rsidRDefault="002D1BAE" w:rsidP="002D1BAE">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5BD7839B" w14:textId="77777777" w:rsidR="002D1BAE" w:rsidRPr="00872631" w:rsidRDefault="002D1BAE" w:rsidP="002D1BAE">
      <w:r w:rsidRPr="00F47C09">
        <w:rPr>
          <w:rStyle w:val="Style13ptBold"/>
        </w:rPr>
        <w:t>Westphal 97</w:t>
      </w:r>
      <w:r w:rsidRPr="00E50098">
        <w:rPr>
          <w:sz w:val="16"/>
          <w:szCs w:val="16"/>
        </w:rPr>
        <w:t xml:space="preserve"> [(Kenneth R., Professor of Philosophy at </w:t>
      </w:r>
      <w:proofErr w:type="spellStart"/>
      <w:r w:rsidRPr="00E50098">
        <w:rPr>
          <w:sz w:val="16"/>
          <w:szCs w:val="16"/>
        </w:rPr>
        <w:t>Boðaziçi</w:t>
      </w:r>
      <w:proofErr w:type="spellEnd"/>
      <w:r w:rsidRPr="00E50098">
        <w:rPr>
          <w:sz w:val="16"/>
          <w:szCs w:val="16"/>
        </w:rPr>
        <w:t xml:space="preserve"> </w:t>
      </w:r>
      <w:proofErr w:type="spellStart"/>
      <w:r w:rsidRPr="00E50098">
        <w:rPr>
          <w:sz w:val="16"/>
          <w:szCs w:val="16"/>
        </w:rPr>
        <w:t>Üniversitesi</w:t>
      </w:r>
      <w:proofErr w:type="spellEnd"/>
      <w:r w:rsidRPr="00E50098">
        <w:rPr>
          <w:sz w:val="16"/>
          <w:szCs w:val="16"/>
        </w:rPr>
        <w:t xml:space="preserve">, PhD in Philosophy from </w:t>
      </w:r>
      <w:proofErr w:type="spellStart"/>
      <w:r w:rsidRPr="00E50098">
        <w:rPr>
          <w:sz w:val="16"/>
          <w:szCs w:val="16"/>
        </w:rPr>
        <w:t>Wisco</w:t>
      </w:r>
      <w:proofErr w:type="spellEnd"/>
      <w:r w:rsidRPr="00E50098">
        <w:rPr>
          <w:sz w:val="16"/>
          <w:szCs w:val="16"/>
        </w:rPr>
        <w:t xml:space="preserve">) “Do Kant’s Principles Justify Property or Usufruct?” </w:t>
      </w:r>
      <w:proofErr w:type="spellStart"/>
      <w:r w:rsidRPr="00E50098">
        <w:rPr>
          <w:sz w:val="16"/>
          <w:szCs w:val="16"/>
        </w:rPr>
        <w:t>Jahrbuch</w:t>
      </w:r>
      <w:proofErr w:type="spellEnd"/>
      <w:r w:rsidRPr="00E50098">
        <w:rPr>
          <w:sz w:val="16"/>
          <w:szCs w:val="16"/>
        </w:rPr>
        <w:t xml:space="preserve"> </w:t>
      </w:r>
      <w:proofErr w:type="spellStart"/>
      <w:r w:rsidRPr="00E50098">
        <w:rPr>
          <w:sz w:val="16"/>
          <w:szCs w:val="16"/>
        </w:rPr>
        <w:t>für</w:t>
      </w:r>
      <w:proofErr w:type="spellEnd"/>
      <w:r w:rsidRPr="00E50098">
        <w:rPr>
          <w:sz w:val="16"/>
          <w:szCs w:val="16"/>
        </w:rPr>
        <w:t xml:space="preserve"> </w:t>
      </w:r>
      <w:proofErr w:type="spellStart"/>
      <w:r w:rsidRPr="00E50098">
        <w:rPr>
          <w:sz w:val="16"/>
          <w:szCs w:val="16"/>
        </w:rPr>
        <w:t>Recht</w:t>
      </w:r>
      <w:proofErr w:type="spellEnd"/>
      <w:r w:rsidRPr="00E50098">
        <w:rPr>
          <w:sz w:val="16"/>
          <w:szCs w:val="16"/>
        </w:rPr>
        <w:t xml:space="preserve"> und </w:t>
      </w:r>
      <w:proofErr w:type="spellStart"/>
      <w:r w:rsidRPr="00E50098">
        <w:rPr>
          <w:sz w:val="16"/>
          <w:szCs w:val="16"/>
        </w:rPr>
        <w:t>Ethik</w:t>
      </w:r>
      <w:proofErr w:type="spellEnd"/>
      <w:r w:rsidRPr="00E50098">
        <w:rPr>
          <w:sz w:val="16"/>
          <w:szCs w:val="16"/>
        </w:rPr>
        <w:t>/Annual Review of Law and Ethics 5 (1997):141–94.] RE</w:t>
      </w:r>
    </w:p>
    <w:p w14:paraId="75E0B7BC" w14:textId="77777777" w:rsidR="002D1BAE" w:rsidRDefault="002D1BAE" w:rsidP="002D1BAE">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w:t>
      </w:r>
      <w:r w:rsidRPr="00872631">
        <w:rPr>
          <w:rStyle w:val="StyleUnderline"/>
        </w:rPr>
        <w:lastRenderedPageBreak/>
        <w:t xml:space="preserve">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48F58CC0" w14:textId="77777777" w:rsidR="002D1BAE" w:rsidRPr="008D79F2" w:rsidRDefault="002D1BAE" w:rsidP="002D1BAE">
      <w:pPr>
        <w:pStyle w:val="Heading4"/>
        <w:rPr>
          <w:rFonts w:cs="Calibri"/>
        </w:rPr>
      </w:pPr>
      <w:r>
        <w:rPr>
          <w:rFonts w:cs="Calibri"/>
        </w:rPr>
        <w:t xml:space="preserve">[2] </w:t>
      </w:r>
      <w:r w:rsidRPr="008D79F2">
        <w:rPr>
          <w:rFonts w:cs="Calibri"/>
        </w:rPr>
        <w:t>Patents attempt to assert ownership over nature and impede individuals’ abilities to pursue their own ends</w:t>
      </w:r>
      <w:r>
        <w:rPr>
          <w:rFonts w:cs="Calibri"/>
        </w:rPr>
        <w:t>.</w:t>
      </w:r>
    </w:p>
    <w:p w14:paraId="0F25797F" w14:textId="77777777" w:rsidR="002D1BAE" w:rsidRPr="008D79F2" w:rsidRDefault="002D1BAE" w:rsidP="002D1BAE">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 w:val="16"/>
          <w:szCs w:val="16"/>
        </w:rPr>
        <w:t>The Libertarian Case Against Intellectual Property Rights,” Free Nation Foundation, 1995] JL recut Lex VM</w:t>
      </w:r>
    </w:p>
    <w:p w14:paraId="2BB2A526" w14:textId="77777777" w:rsidR="002D1BAE" w:rsidRPr="009F3A5C" w:rsidRDefault="002D1BAE" w:rsidP="002D1BAE">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7F767C7E" w14:textId="77777777" w:rsidR="002D1BAE" w:rsidRPr="009F3A5C" w:rsidRDefault="002D1BAE" w:rsidP="002D1BAE">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7F92D7DE" w14:textId="77777777" w:rsidR="002D1BAE" w:rsidRPr="009F3A5C" w:rsidRDefault="002D1BAE" w:rsidP="002D1BAE">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3F7067A5" w14:textId="77777777" w:rsidR="002D1BAE" w:rsidRPr="009F3A5C" w:rsidRDefault="002D1BAE" w:rsidP="002D1BAE">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5644F27E" w14:textId="77777777" w:rsidR="002D1BAE" w:rsidRPr="009F3A5C" w:rsidRDefault="002D1BAE" w:rsidP="002D1BAE">
      <w:pPr>
        <w:rPr>
          <w:sz w:val="12"/>
        </w:rPr>
      </w:pPr>
      <w:r w:rsidRPr="009F3A5C">
        <w:rPr>
          <w:rStyle w:val="StyleUnderline"/>
        </w:rPr>
        <w:lastRenderedPageBreak/>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2E17A58A" w14:textId="77777777" w:rsidR="002D1BAE" w:rsidRPr="004754E5" w:rsidRDefault="002D1BAE" w:rsidP="002D1BAE">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C3669D6" w14:textId="77777777" w:rsidR="002D1BAE" w:rsidRPr="008D79F2" w:rsidRDefault="002D1BAE" w:rsidP="002D1BAE">
      <w:pPr>
        <w:pStyle w:val="Heading4"/>
        <w:rPr>
          <w:rFonts w:cs="Calibri"/>
        </w:rPr>
      </w:pPr>
      <w:r>
        <w:rPr>
          <w:rFonts w:cs="Calibri"/>
        </w:rPr>
        <w:t xml:space="preserve">[3]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2E871441" w14:textId="77777777" w:rsidR="002D1BAE" w:rsidRPr="008D79F2" w:rsidRDefault="002D1BAE" w:rsidP="002D1BAE">
      <w:pPr>
        <w:rPr>
          <w:rStyle w:val="Style13ptBold"/>
          <w:b w:val="0"/>
          <w:bCs/>
        </w:rPr>
      </w:pPr>
      <w:r w:rsidRPr="008D79F2">
        <w:rPr>
          <w:rStyle w:val="Style13ptBold"/>
        </w:rPr>
        <w:t>Merges 11</w:t>
      </w:r>
      <w:r w:rsidRPr="008D79F2">
        <w:rPr>
          <w:rStyle w:val="Style13ptBold"/>
          <w:b w:val="0"/>
          <w:bCs/>
        </w:rPr>
        <w:t xml:space="preserve"> </w:t>
      </w:r>
      <w:r w:rsidRPr="004F3D3E">
        <w:rPr>
          <w:rStyle w:val="Style13ptBold"/>
          <w:b w:val="0"/>
          <w:bCs/>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sz w:val="16"/>
          <w:szCs w:val="16"/>
        </w:rPr>
        <w:t>) “Justifying Intellectual Property,” Harvard University Press, 2011] JL recut Lex VM</w:t>
      </w:r>
    </w:p>
    <w:p w14:paraId="0F20CF78" w14:textId="77777777" w:rsidR="002D1BAE" w:rsidRPr="008D79F2" w:rsidRDefault="002D1BAE" w:rsidP="002D1BAE">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78C3D780" w14:textId="77777777" w:rsidR="002D1BAE" w:rsidRPr="004B3BEF" w:rsidRDefault="002D1BAE" w:rsidP="002D1BAE">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0C2F5073" w14:textId="77777777" w:rsidR="002D1BAE" w:rsidRPr="008D79F2" w:rsidRDefault="002D1BAE" w:rsidP="002D1BAE">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 xml:space="preserve">there is generally a high degree of </w:t>
      </w:r>
      <w:r w:rsidRPr="004B3BEF">
        <w:rPr>
          <w:rStyle w:val="StyleUnderline"/>
        </w:rPr>
        <w:lastRenderedPageBreak/>
        <w:t>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0E2E0480" w14:textId="77777777" w:rsidR="002D1BAE" w:rsidRPr="00F336BE" w:rsidRDefault="002D1BAE" w:rsidP="002D1BAE">
      <w:pPr>
        <w:pStyle w:val="Heading4"/>
      </w:pPr>
      <w:r>
        <w:t>[4] A universal system of freedom justifies a libertarian state.</w:t>
      </w:r>
    </w:p>
    <w:p w14:paraId="166F693C" w14:textId="77777777" w:rsidR="002D1BAE" w:rsidRPr="004F1E29" w:rsidRDefault="002D1BAE" w:rsidP="002D1BAE">
      <w:pPr>
        <w:spacing w:line="256" w:lineRule="auto"/>
        <w:rPr>
          <w:rFonts w:eastAsia="Calibri"/>
        </w:rPr>
      </w:pPr>
      <w:r>
        <w:rPr>
          <w:rFonts w:eastAsia="Calibri"/>
          <w:b/>
          <w:iCs/>
        </w:rPr>
        <w:t>Otteson 9</w:t>
      </w:r>
      <w:r w:rsidRPr="00D55F9C">
        <w:rPr>
          <w:rFonts w:eastAsia="Calibri"/>
          <w:b/>
          <w:iCs/>
          <w:sz w:val="16"/>
          <w:szCs w:val="16"/>
        </w:rPr>
        <w:t xml:space="preserve"> </w:t>
      </w:r>
      <w:r w:rsidRPr="00D55F9C">
        <w:rPr>
          <w:rFonts w:eastAsia="Calibri"/>
          <w:bCs/>
          <w:iCs/>
          <w:sz w:val="16"/>
          <w:szCs w:val="16"/>
        </w:rPr>
        <w:t>[brackets in original]</w:t>
      </w:r>
      <w:r w:rsidRPr="00D55F9C">
        <w:rPr>
          <w:rFonts w:eastAsia="Calibri"/>
          <w:iCs/>
          <w:sz w:val="16"/>
          <w:szCs w:val="16"/>
        </w:rPr>
        <w:t xml:space="preserve"> </w:t>
      </w:r>
      <w:r w:rsidRPr="00D55F9C">
        <w:rPr>
          <w:rFonts w:eastAsia="Calibri"/>
          <w:sz w:val="16"/>
          <w:szCs w:val="16"/>
        </w:rPr>
        <w:t xml:space="preserve">James </w:t>
      </w:r>
      <w:r w:rsidRPr="001E1ED6">
        <w:rPr>
          <w:rFonts w:eastAsia="Calibri"/>
          <w:sz w:val="16"/>
          <w:szCs w:val="16"/>
        </w:rPr>
        <w:t>R. Otteson (professor of philosophy and economics at Yeshiva University) “Kantian Individualism and Political Libertarianism” The Independent Review, v. 13, n. 3, Winter 2009</w:t>
      </w:r>
      <w:r w:rsidRPr="004F1E29">
        <w:rPr>
          <w:rFonts w:eastAsia="Calibri"/>
        </w:rPr>
        <w:t xml:space="preserve"> </w:t>
      </w:r>
    </w:p>
    <w:p w14:paraId="4B24E841" w14:textId="77777777" w:rsidR="002D1BAE" w:rsidRPr="004F1E29" w:rsidRDefault="002D1BAE" w:rsidP="002D1BAE">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 xml:space="preserve">“‘[e]very action which by itself or by its maxim enables the freedom of </w:t>
      </w:r>
      <w:proofErr w:type="gramStart"/>
      <w:r w:rsidRPr="004F1E29">
        <w:rPr>
          <w:rFonts w:eastAsia="Calibri"/>
          <w:b/>
          <w:iCs/>
          <w:u w:val="single"/>
        </w:rPr>
        <w:t>each individual’s</w:t>
      </w:r>
      <w:proofErr w:type="gramEnd"/>
      <w:r w:rsidRPr="004F1E29">
        <w:rPr>
          <w:rFonts w:eastAsia="Calibri"/>
          <w:b/>
          <w:iCs/>
          <w:u w:val="single"/>
        </w:rPr>
        <w:t xml:space="preserve">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E677F3">
        <w:rPr>
          <w:rStyle w:val="Emphasis"/>
          <w:highlight w:val="green"/>
        </w:rPr>
        <w:t>the reason we leave the state of nature is to secure</w:t>
      </w:r>
      <w:r w:rsidRPr="004F1E29">
        <w:rPr>
          <w:rFonts w:eastAsia="Calibri"/>
          <w:b/>
          <w:iCs/>
          <w:u w:val="single"/>
        </w:rPr>
        <w:t xml:space="preserve"> this sphere of </w:t>
      </w:r>
      <w:r w:rsidRPr="00E677F3">
        <w:rPr>
          <w:rStyle w:val="Emphasis"/>
          <w:highlight w:val="green"/>
        </w:rPr>
        <w:t xml:space="preserve">maximum freedom compatible with the </w:t>
      </w:r>
      <w:r w:rsidRPr="00D55F9C">
        <w:rPr>
          <w:rStyle w:val="Emphasis"/>
          <w:highlight w:val="green"/>
        </w:rPr>
        <w:t>same freedom of all others. Because t</w:t>
      </w:r>
      <w:r w:rsidRPr="00E677F3">
        <w:rPr>
          <w:rStyle w:val="Emphasis"/>
          <w:highlight w:val="green"/>
        </w:rPr>
        <w:t>his freedom must be</w:t>
      </w:r>
      <w:r w:rsidRPr="004F1E29">
        <w:rPr>
          <w:rFonts w:eastAsia="Calibri"/>
          <w:b/>
          <w:iCs/>
          <w:u w:val="single"/>
        </w:rPr>
        <w:t xml:space="preserve"> complete</w:t>
      </w:r>
      <w:r w:rsidRPr="004F1E29">
        <w:rPr>
          <w:rFonts w:eastAsia="Calibri"/>
          <w:u w:val="single"/>
        </w:rPr>
        <w:t xml:space="preserve">, in the sense of being </w:t>
      </w:r>
      <w:r w:rsidRPr="00E677F3">
        <w:rPr>
          <w:rStyle w:val="Emphasis"/>
          <w:highlight w:val="green"/>
        </w:rPr>
        <w:t>as full as possible</w:t>
      </w:r>
      <w:r w:rsidRPr="004F1E29">
        <w:rPr>
          <w:rFonts w:eastAsia="Calibri"/>
          <w:u w:val="single"/>
        </w:rPr>
        <w:t xml:space="preserve"> given the existence of other persons who demand similar freedom, it entails that </w:t>
      </w:r>
      <w:r w:rsidRPr="00E677F3">
        <w:rPr>
          <w:rStyle w:val="Emphasis"/>
          <w:highlight w:val="green"/>
        </w:rPr>
        <w:t>the state may</w:t>
      </w:r>
      <w:r w:rsidRPr="004F1E29">
        <w:rPr>
          <w:rFonts w:eastAsia="Calibri"/>
          <w:sz w:val="8"/>
        </w:rPr>
        <w:t>—indeed, must—</w:t>
      </w:r>
      <w:r w:rsidRPr="00E677F3">
        <w:rPr>
          <w:rStyle w:val="Emphasis"/>
          <w:highlight w:val="green"/>
        </w:rPr>
        <w:t>secure this condition</w:t>
      </w:r>
      <w:r w:rsidRPr="004F1E29">
        <w:rPr>
          <w:rFonts w:eastAsia="Calibri"/>
          <w:u w:val="single"/>
        </w:rPr>
        <w:t xml:space="preserve"> of freedom, </w:t>
      </w:r>
      <w:r w:rsidRPr="00E677F3">
        <w:rPr>
          <w:rStyle w:val="Emphasis"/>
          <w:highlight w:val="green"/>
        </w:rPr>
        <w:t>but undertake</w:t>
      </w:r>
      <w:r w:rsidRPr="004F1E29">
        <w:rPr>
          <w:rFonts w:eastAsia="Calibri"/>
          <w:b/>
          <w:iCs/>
          <w:u w:val="single"/>
        </w:rPr>
        <w:t xml:space="preserve"> to do </w:t>
      </w:r>
      <w:r w:rsidRPr="00E677F3">
        <w:rPr>
          <w:rStyle w:val="Emphasis"/>
          <w:highlight w:val="green"/>
        </w:rPr>
        <w:t>nothing else because any other</w:t>
      </w:r>
      <w:r w:rsidRPr="004F1E29">
        <w:rPr>
          <w:rFonts w:eastAsia="Calibri"/>
          <w:u w:val="single"/>
        </w:rPr>
        <w:t xml:space="preserve"> state </w:t>
      </w:r>
      <w:r w:rsidRPr="00E677F3">
        <w:rPr>
          <w:rStyle w:val="Emphasis"/>
          <w:highlight w:val="green"/>
        </w:rPr>
        <w:t>activities would compromise the</w:t>
      </w:r>
      <w:r w:rsidRPr="004F1E29">
        <w:rPr>
          <w:rFonts w:eastAsia="Calibri"/>
          <w:b/>
          <w:iCs/>
          <w:u w:val="single"/>
        </w:rPr>
        <w:t xml:space="preserve"> very </w:t>
      </w:r>
      <w:r w:rsidRPr="00E677F3">
        <w:rPr>
          <w:rStyle w:val="Emphasis"/>
          <w:highlight w:val="green"/>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E677F3">
        <w:rPr>
          <w:rStyle w:val="Emphasis"/>
          <w:highlight w:val="green"/>
        </w:rPr>
        <w:t>state</w:t>
      </w:r>
      <w:r w:rsidRPr="004F1E29">
        <w:rPr>
          <w:rFonts w:eastAsia="Calibri"/>
          <w:b/>
          <w:iCs/>
          <w:u w:val="single"/>
        </w:rPr>
        <w:t xml:space="preserve"> to </w:t>
      </w:r>
      <w:r w:rsidRPr="00E677F3">
        <w:rPr>
          <w:rStyle w:val="Emphasis"/>
          <w:highlight w:val="green"/>
        </w:rPr>
        <w:t>protect</w:t>
      </w:r>
      <w:r w:rsidRPr="004F1E29">
        <w:rPr>
          <w:rFonts w:eastAsia="Calibri"/>
          <w:b/>
          <w:iCs/>
          <w:u w:val="single"/>
        </w:rPr>
        <w:t xml:space="preserve"> their moral </w:t>
      </w:r>
      <w:r w:rsidRPr="00E677F3">
        <w:rPr>
          <w:rStyle w:val="Emphasis"/>
          <w:highlight w:val="green"/>
        </w:rPr>
        <w:t>agency</w:t>
      </w:r>
      <w:r w:rsidRPr="004F1E29">
        <w:rPr>
          <w:rFonts w:eastAsia="Calibri"/>
          <w:b/>
          <w:iCs/>
          <w:u w:val="single"/>
        </w:rPr>
        <w:t xml:space="preserve">, </w:t>
      </w:r>
      <w:r w:rsidRPr="00E677F3">
        <w:rPr>
          <w:rStyle w:val="Emphasis"/>
          <w:highlight w:val="green"/>
        </w:rPr>
        <w:t>and</w:t>
      </w:r>
      <w:r w:rsidRPr="004F1E29">
        <w:rPr>
          <w:rFonts w:eastAsia="Calibri"/>
          <w:u w:val="single"/>
        </w:rPr>
        <w:t xml:space="preserve"> in doing so </w:t>
      </w:r>
      <w:r w:rsidRPr="00E677F3">
        <w:rPr>
          <w:rStyle w:val="Emphasis"/>
          <w:highlight w:val="green"/>
        </w:rPr>
        <w:t>they consent to coercion only insofar as it is required to prevent themselves</w:t>
      </w:r>
      <w:r w:rsidRPr="004F1E29">
        <w:rPr>
          <w:rFonts w:eastAsia="Calibri"/>
          <w:u w:val="single"/>
        </w:rPr>
        <w:t xml:space="preserve"> or others </w:t>
      </w:r>
      <w:r w:rsidRPr="00E677F3">
        <w:rPr>
          <w:rStyle w:val="Emphasis"/>
          <w:highlight w:val="green"/>
        </w:rPr>
        <w:t>from impinging on</w:t>
      </w:r>
      <w:r w:rsidRPr="004F1E29">
        <w:rPr>
          <w:rFonts w:eastAsia="Calibri"/>
          <w:u w:val="single"/>
        </w:rPr>
        <w:t xml:space="preserve"> their own or </w:t>
      </w:r>
      <w:r w:rsidRPr="00E677F3">
        <w:rPr>
          <w:rStyle w:val="Emphasis"/>
          <w:highlight w:val="green"/>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1791F82A" w14:textId="79E0B1BD" w:rsidR="00E42E4C" w:rsidRDefault="00E42E4C" w:rsidP="00F601E6"/>
    <w:p w14:paraId="3C0FA3A6" w14:textId="54FAF3F0" w:rsidR="002D1BAE" w:rsidRDefault="002D1BAE" w:rsidP="002D1BAE">
      <w:pPr>
        <w:pStyle w:val="Heading1"/>
      </w:pPr>
      <w:r>
        <w:lastRenderedPageBreak/>
        <w:t>Accessibility</w:t>
      </w:r>
    </w:p>
    <w:p w14:paraId="03FD38B6" w14:textId="77777777" w:rsidR="002D1BAE" w:rsidRDefault="002D1BAE" w:rsidP="002D1BAE">
      <w:pPr>
        <w:pStyle w:val="Heading3"/>
      </w:pPr>
      <w:r>
        <w:lastRenderedPageBreak/>
        <w:t>Framing</w:t>
      </w:r>
    </w:p>
    <w:p w14:paraId="3F3A5C17" w14:textId="77777777" w:rsidR="002D1BAE" w:rsidRPr="009E037C" w:rsidRDefault="002D1BAE" w:rsidP="002D1BAE">
      <w:pPr>
        <w:pStyle w:val="Heading4"/>
      </w:pPr>
      <w:proofErr w:type="spellStart"/>
      <w:r>
        <w:t>Abductivism</w:t>
      </w:r>
      <w:proofErr w:type="spellEnd"/>
      <w:r>
        <w:t xml:space="preserve"> disproves the best guess – normative judgements require certainty which necessitates deductive foundations.</w:t>
      </w:r>
    </w:p>
    <w:p w14:paraId="3CEBAAEF" w14:textId="77777777" w:rsidR="002D1BAE" w:rsidRDefault="002D1BAE" w:rsidP="002D1BAE">
      <w:proofErr w:type="spellStart"/>
      <w:r w:rsidRPr="00A66CEC">
        <w:rPr>
          <w:rStyle w:val="Style13ptBold"/>
        </w:rPr>
        <w:t>Douven</w:t>
      </w:r>
      <w:proofErr w:type="spellEnd"/>
      <w:r w:rsidRPr="00A66CEC">
        <w:rPr>
          <w:rStyle w:val="Style13ptBold"/>
        </w:rPr>
        <w:t xml:space="preserve"> 17</w:t>
      </w:r>
    </w:p>
    <w:p w14:paraId="38095EBA" w14:textId="77777777" w:rsidR="002D1BAE" w:rsidRDefault="002D1BAE" w:rsidP="002D1BAE">
      <w:r>
        <w:t>You know Tim and Harry ended their friendship. you saw Tim and Harry jogging together. You conclude that they are friends again. the conclusions do not follow logically from the premises. it does not follow that Tim and Harry are friends again from the premises that they had a terrible row</w:t>
      </w:r>
    </w:p>
    <w:p w14:paraId="5A83DF7C" w14:textId="77777777" w:rsidR="002D1BAE" w:rsidRDefault="002D1BAE" w:rsidP="002D1BAE">
      <w:pPr>
        <w:pStyle w:val="Heading3"/>
      </w:pPr>
      <w:r>
        <w:lastRenderedPageBreak/>
        <w:t>Offense</w:t>
      </w:r>
    </w:p>
    <w:p w14:paraId="102170B1" w14:textId="77777777" w:rsidR="002D1BAE" w:rsidRPr="00872631" w:rsidRDefault="002D1BAE" w:rsidP="002D1BAE">
      <w:pPr>
        <w:pStyle w:val="Heading4"/>
        <w:rPr>
          <w:rFonts w:cs="Calibri"/>
        </w:rPr>
      </w:pP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6DECE534" w14:textId="77777777" w:rsidR="002D1BAE" w:rsidRDefault="002D1BAE" w:rsidP="002D1BAE">
      <w:pPr>
        <w:rPr>
          <w:rStyle w:val="Style13ptBold"/>
        </w:rPr>
      </w:pPr>
      <w:r w:rsidRPr="00F47C09">
        <w:rPr>
          <w:rStyle w:val="Style13ptBold"/>
        </w:rPr>
        <w:t>Westphal 97</w:t>
      </w:r>
    </w:p>
    <w:p w14:paraId="3421F0DB" w14:textId="77777777" w:rsidR="002D1BAE" w:rsidRDefault="002D1BAE" w:rsidP="002D1BAE">
      <w:r>
        <w:t xml:space="preserve">anyone’s use of </w:t>
      </w:r>
      <w:proofErr w:type="spellStart"/>
      <w:r>
        <w:t>some thing</w:t>
      </w:r>
      <w:proofErr w:type="spellEnd"/>
      <w:r>
        <w:t xml:space="preserve"> precludes someone else’s use of that given the condition of scarcity legitimate action requires sufficient abundance so that one person’s use is not someone else’s (deprivation) it is rightful to make use of things within one’s power possession” involves only the right of a qualified chose in possession</w:t>
      </w:r>
    </w:p>
    <w:p w14:paraId="1521C9DE" w14:textId="77777777" w:rsidR="002D1BAE" w:rsidRDefault="002D1BAE" w:rsidP="002D1BAE"/>
    <w:p w14:paraId="4C4A07FD" w14:textId="77777777" w:rsidR="002D1BAE" w:rsidRPr="00872631" w:rsidRDefault="002D1BAE" w:rsidP="002D1BAE">
      <w:pPr>
        <w:pStyle w:val="Heading4"/>
        <w:rPr>
          <w:rFonts w:cs="Calibri"/>
        </w:rPr>
      </w:pPr>
      <w:r w:rsidRPr="00872631">
        <w:rPr>
          <w:rFonts w:cs="Calibri"/>
        </w:rPr>
        <w:t xml:space="preserve">That implies that </w:t>
      </w:r>
      <w:r>
        <w:rPr>
          <w:rFonts w:cs="Calibri"/>
        </w:rPr>
        <w:t xml:space="preserve">intellectual property </w:t>
      </w:r>
      <w:r w:rsidRPr="00872631">
        <w:rPr>
          <w:rFonts w:cs="Calibri"/>
        </w:rPr>
        <w:t>is unjust.</w:t>
      </w:r>
    </w:p>
    <w:p w14:paraId="4F21538B" w14:textId="77777777" w:rsidR="002D1BAE" w:rsidRDefault="002D1BAE" w:rsidP="002D1BAE">
      <w:r w:rsidRPr="00F47C09">
        <w:rPr>
          <w:rStyle w:val="Style13ptBold"/>
        </w:rPr>
        <w:t>Westphal 97</w:t>
      </w:r>
    </w:p>
    <w:p w14:paraId="4C8EE525" w14:textId="77777777" w:rsidR="002D1BAE" w:rsidRDefault="002D1BAE" w:rsidP="002D1BAE">
      <w:r>
        <w:t xml:space="preserve">exclusion of others from a right when one does not need the item Property rights involve </w:t>
      </w:r>
      <w:proofErr w:type="gramStart"/>
      <w:r>
        <w:t>such an exclusion principles</w:t>
      </w:r>
      <w:proofErr w:type="gramEnd"/>
      <w:r>
        <w:t xml:space="preserve"> undermine and repudiate the cherished liberal conception of property</w:t>
      </w:r>
    </w:p>
    <w:p w14:paraId="20F99AA1" w14:textId="77777777" w:rsidR="002D1BAE" w:rsidRDefault="002D1BAE" w:rsidP="002D1BAE"/>
    <w:p w14:paraId="22ADD254" w14:textId="77777777" w:rsidR="002D1BAE" w:rsidRPr="008D79F2" w:rsidRDefault="002D1BAE" w:rsidP="002D1BAE">
      <w:pPr>
        <w:pStyle w:val="Heading4"/>
        <w:rPr>
          <w:rFonts w:cs="Calibri"/>
        </w:rPr>
      </w:pPr>
      <w:r w:rsidRPr="008D79F2">
        <w:rPr>
          <w:rFonts w:cs="Calibri"/>
        </w:rPr>
        <w:t>Patents attempt to assert ownership over nature and impede individuals’ abilities to pursue their own ends</w:t>
      </w:r>
      <w:r>
        <w:rPr>
          <w:rFonts w:cs="Calibri"/>
        </w:rPr>
        <w:t>.</w:t>
      </w:r>
    </w:p>
    <w:p w14:paraId="016AB111" w14:textId="77777777" w:rsidR="002D1BAE" w:rsidRDefault="002D1BAE" w:rsidP="002D1BAE">
      <w:r w:rsidRPr="008D79F2">
        <w:rPr>
          <w:rStyle w:val="Style13ptBold"/>
        </w:rPr>
        <w:t>Long 95</w:t>
      </w:r>
    </w:p>
    <w:p w14:paraId="751796C4" w14:textId="77777777" w:rsidR="002D1BAE" w:rsidRDefault="002D1BAE" w:rsidP="002D1BAE">
      <w:r>
        <w:t xml:space="preserve">A patent </w:t>
      </w:r>
      <w:proofErr w:type="gramStart"/>
      <w:r>
        <w:t>is,</w:t>
      </w:r>
      <w:proofErr w:type="gramEnd"/>
      <w:r>
        <w:t xml:space="preserve"> a claim over a law of nature. it is nature that copper in this configuration makes a battery Suppose Sabre-tooth tigers are approaching Your only hope is a device I've patented my device Thus, you can't construct without my property you are not permitted to use your own knowledge to further your ends two people come up with the same invention patent law will grant exclusive rights to the inventor who reaches the office first</w:t>
      </w:r>
    </w:p>
    <w:p w14:paraId="24FFC2E2" w14:textId="77777777" w:rsidR="002D1BAE" w:rsidRDefault="002D1BAE" w:rsidP="002D1BAE"/>
    <w:p w14:paraId="02E429DA" w14:textId="77777777" w:rsidR="002D1BAE" w:rsidRPr="008D79F2" w:rsidRDefault="002D1BAE" w:rsidP="002D1BAE">
      <w:pPr>
        <w:pStyle w:val="Heading4"/>
        <w:rPr>
          <w:rFonts w:cs="Calibri"/>
        </w:rPr>
      </w:pP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06264A32" w14:textId="77777777" w:rsidR="002D1BAE" w:rsidRDefault="002D1BAE" w:rsidP="002D1BAE">
      <w:r w:rsidRPr="008D79F2">
        <w:rPr>
          <w:rStyle w:val="Style13ptBold"/>
        </w:rPr>
        <w:t>Merges 11</w:t>
      </w:r>
    </w:p>
    <w:p w14:paraId="05F903E9" w14:textId="77777777" w:rsidR="002D1BAE" w:rsidRDefault="002D1BAE" w:rsidP="002D1BAE">
      <w:r>
        <w:t xml:space="preserve">property must not interfere with the freedom of fellow citizens Death is the ultimate restraint on autonomy;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3D17BE67" w14:textId="77777777" w:rsidR="002D1BAE" w:rsidRDefault="002D1BAE" w:rsidP="002D1BAE"/>
    <w:p w14:paraId="52F04BEA" w14:textId="77777777" w:rsidR="002D1BAE" w:rsidRPr="00F336BE" w:rsidRDefault="002D1BAE" w:rsidP="002D1BAE">
      <w:pPr>
        <w:pStyle w:val="Heading4"/>
      </w:pPr>
      <w:r>
        <w:t>A universal system of freedom justifies a libertarian state.</w:t>
      </w:r>
    </w:p>
    <w:p w14:paraId="679D226D" w14:textId="77777777" w:rsidR="002D1BAE" w:rsidRDefault="002D1BAE" w:rsidP="002D1BAE">
      <w:r>
        <w:rPr>
          <w:rFonts w:eastAsia="Calibri"/>
          <w:b/>
          <w:iCs/>
        </w:rPr>
        <w:t>Otteson 9</w:t>
      </w:r>
    </w:p>
    <w:p w14:paraId="3A6D346D" w14:textId="08CBAA15" w:rsidR="002D1BAE" w:rsidRPr="002D1BAE" w:rsidRDefault="002D1BAE" w:rsidP="002D1BAE">
      <w:r>
        <w:t>the reason we leave the state of nature is to secure maximum freedom compatible with the same freedom of all others. Because this freedom must be as full as possible the state may secure this condition but undertake nothing else because any other activities would compromise the autonomy the state seeks to defend state protect agency and they consent to coercion only insofar as it is required to prevent themselves from impinging on others’ agency</w:t>
      </w:r>
    </w:p>
    <w:sectPr w:rsidR="002D1BAE" w:rsidRPr="002D1B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1B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D1BA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89C9E"/>
  <w14:defaultImageDpi w14:val="300"/>
  <w15:docId w15:val="{9A2AA319-8208-F947-94C4-7F57635E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1BAE"/>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2D1B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1B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D1B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2D1BAE"/>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2D1B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BAE"/>
  </w:style>
  <w:style w:type="character" w:customStyle="1" w:styleId="Heading1Char">
    <w:name w:val="Heading 1 Char"/>
    <w:aliases w:val="Pocket Char"/>
    <w:basedOn w:val="DefaultParagraphFont"/>
    <w:link w:val="Heading1"/>
    <w:uiPriority w:val="9"/>
    <w:rsid w:val="002D1B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D1BAE"/>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D1BAE"/>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9"/>
    <w:rsid w:val="002D1BAE"/>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1BA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D1BAE"/>
    <w:rPr>
      <w:b w:val="0"/>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2D1BAE"/>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2D1BAE"/>
    <w:rPr>
      <w:color w:val="auto"/>
      <w:u w:val="none"/>
    </w:rPr>
  </w:style>
  <w:style w:type="character" w:styleId="Hyperlink">
    <w:name w:val="Hyperlink"/>
    <w:basedOn w:val="DefaultParagraphFont"/>
    <w:uiPriority w:val="99"/>
    <w:semiHidden/>
    <w:unhideWhenUsed/>
    <w:rsid w:val="002D1BAE"/>
    <w:rPr>
      <w:color w:val="auto"/>
      <w:u w:val="none"/>
    </w:rPr>
  </w:style>
  <w:style w:type="paragraph" w:styleId="DocumentMap">
    <w:name w:val="Document Map"/>
    <w:basedOn w:val="Normal"/>
    <w:link w:val="DocumentMapChar"/>
    <w:uiPriority w:val="99"/>
    <w:semiHidden/>
    <w:unhideWhenUsed/>
    <w:rsid w:val="002D1B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1BAE"/>
    <w:rPr>
      <w:rFonts w:ascii="Lucida Grande" w:hAnsi="Lucida Grande" w:cs="Lucida Grande"/>
    </w:rPr>
  </w:style>
  <w:style w:type="paragraph" w:customStyle="1" w:styleId="textbold">
    <w:name w:val="text bold"/>
    <w:basedOn w:val="Normal"/>
    <w:link w:val="Emphasis"/>
    <w:uiPriority w:val="20"/>
    <w:qFormat/>
    <w:rsid w:val="002D1BAE"/>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4091</Words>
  <Characters>23321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2021-09-05T20:45:00Z</dcterms:created>
  <dcterms:modified xsi:type="dcterms:W3CDTF">2021-09-05T20:51:00Z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