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A38A9" w14:textId="77777777" w:rsidR="00387E7F" w:rsidRDefault="00387E7F" w:rsidP="00387E7F">
      <w:pPr>
        <w:pStyle w:val="Heading3"/>
      </w:pPr>
      <w:r>
        <w:t>Framework</w:t>
      </w:r>
    </w:p>
    <w:p w14:paraId="5E1C7918" w14:textId="77777777" w:rsidR="00387E7F" w:rsidRDefault="00387E7F" w:rsidP="00387E7F">
      <w:pPr>
        <w:pStyle w:val="Heading4"/>
      </w:pPr>
      <w:r>
        <w:t>I value morality. Ethics must first start by defining good and bad because ethical answers rely on a correct interpretation of what they’re representing –</w:t>
      </w:r>
    </w:p>
    <w:p w14:paraId="055E756C" w14:textId="77777777" w:rsidR="00387E7F" w:rsidRDefault="00387E7F" w:rsidP="00387E7F">
      <w:pPr>
        <w:pStyle w:val="Heading4"/>
      </w:pPr>
      <w:r>
        <w:t xml:space="preserve">Therefore, the meta-ethic is </w:t>
      </w:r>
      <w:r w:rsidRPr="000043D5">
        <w:t>moral non-naturalism</w:t>
      </w:r>
      <w:r>
        <w:t xml:space="preserve">. </w:t>
      </w:r>
    </w:p>
    <w:p w14:paraId="13CB72B3" w14:textId="77777777" w:rsidR="00387E7F" w:rsidRPr="008962E3" w:rsidRDefault="00387E7F" w:rsidP="00387E7F">
      <w:pPr>
        <w:rPr>
          <w:sz w:val="16"/>
          <w:szCs w:val="16"/>
        </w:rPr>
      </w:pPr>
      <w:r w:rsidRPr="008962E3">
        <w:rPr>
          <w:rStyle w:val="Style13ptBold"/>
        </w:rPr>
        <w:t>Hume 72</w:t>
      </w:r>
      <w:r w:rsidRPr="008962E3">
        <w:rPr>
          <w:sz w:val="16"/>
          <w:szCs w:val="16"/>
        </w:rPr>
        <w:t xml:space="preserve"> Hume, David. An Enquiry Concerning Human Understanding (1772). Hackett Publ Co. 1993; Chapter on Cause and Effect. //Massa</w:t>
      </w:r>
    </w:p>
    <w:p w14:paraId="7EFBF4EC" w14:textId="77777777" w:rsidR="00387E7F" w:rsidRPr="000043D5" w:rsidRDefault="00387E7F" w:rsidP="00387E7F">
      <w:pPr>
        <w:rPr>
          <w:rFonts w:cs="Calibri"/>
          <w:sz w:val="20"/>
          <w:szCs w:val="20"/>
        </w:rPr>
      </w:pPr>
      <w:r w:rsidRPr="00E5564B">
        <w:rPr>
          <w:rFonts w:cs="Calibri"/>
          <w:color w:val="000000"/>
          <w:sz w:val="16"/>
          <w:szCs w:val="16"/>
        </w:rPr>
        <w:t xml:space="preserve">That there are no demonstrative arguments in the case seems evident; since it implies no contradiction that </w:t>
      </w:r>
      <w:r w:rsidRPr="008962E3">
        <w:rPr>
          <w:rStyle w:val="Emphasis"/>
          <w:highlight w:val="green"/>
        </w:rPr>
        <w:t>the course of nature may change, and</w:t>
      </w:r>
      <w:r w:rsidRPr="008962E3">
        <w:rPr>
          <w:sz w:val="16"/>
          <w:szCs w:val="16"/>
        </w:rPr>
        <w:t xml:space="preserve"> </w:t>
      </w:r>
      <w:r w:rsidRPr="00E5564B">
        <w:rPr>
          <w:rFonts w:cs="Calibri"/>
          <w:color w:val="000000"/>
          <w:sz w:val="16"/>
          <w:szCs w:val="16"/>
        </w:rPr>
        <w:t xml:space="preserve">that </w:t>
      </w:r>
      <w:r w:rsidRPr="008962E3">
        <w:rPr>
          <w:rFonts w:cs="Calibri"/>
          <w:b/>
          <w:color w:val="000000"/>
          <w:szCs w:val="26"/>
          <w:highlight w:val="green"/>
          <w:u w:val="single"/>
        </w:rPr>
        <w:t>a</w:t>
      </w:r>
      <w:r w:rsidRPr="008962E3">
        <w:rPr>
          <w:rStyle w:val="Emphasis"/>
          <w:highlight w:val="green"/>
        </w:rPr>
        <w:t>n object</w:t>
      </w:r>
      <w:r w:rsidRPr="008962E3">
        <w:rPr>
          <w:rStyle w:val="Emphasis"/>
        </w:rPr>
        <w:t xml:space="preserve">, seemingly like those which we have experienced, </w:t>
      </w:r>
      <w:r w:rsidRPr="008962E3">
        <w:rPr>
          <w:rStyle w:val="Emphasis"/>
          <w:highlight w:val="green"/>
        </w:rPr>
        <w:t>may be attended with different</w:t>
      </w:r>
      <w:r w:rsidRPr="008962E3">
        <w:rPr>
          <w:sz w:val="16"/>
          <w:szCs w:val="16"/>
        </w:rPr>
        <w:t xml:space="preserve"> </w:t>
      </w:r>
      <w:r w:rsidRPr="00E5564B">
        <w:rPr>
          <w:rFonts w:cs="Calibri"/>
          <w:color w:val="000000"/>
          <w:sz w:val="16"/>
          <w:szCs w:val="16"/>
        </w:rPr>
        <w:t>or contrary</w:t>
      </w:r>
      <w:r w:rsidRPr="008962E3">
        <w:rPr>
          <w:sz w:val="16"/>
          <w:szCs w:val="16"/>
        </w:rPr>
        <w:t xml:space="preserve"> </w:t>
      </w:r>
      <w:r w:rsidRPr="008962E3">
        <w:rPr>
          <w:rStyle w:val="Emphasis"/>
          <w:highlight w:val="green"/>
        </w:rPr>
        <w:t>effects</w:t>
      </w:r>
      <w:r w:rsidRPr="008962E3">
        <w:rPr>
          <w:rStyle w:val="Emphasis"/>
        </w:rPr>
        <w:t>.</w:t>
      </w:r>
      <w:r w:rsidRPr="00E5564B">
        <w:rPr>
          <w:rFonts w:cs="Calibri"/>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priori.If we be, therefore, engaged by </w:t>
      </w:r>
      <w:r w:rsidRPr="00E5564B">
        <w:rPr>
          <w:rFonts w:cs="Calibri"/>
          <w:bCs/>
          <w:color w:val="000000"/>
          <w:sz w:val="16"/>
          <w:szCs w:val="16"/>
        </w:rPr>
        <w:t xml:space="preserve">arguments </w:t>
      </w:r>
      <w:r w:rsidRPr="008962E3">
        <w:rPr>
          <w:rStyle w:val="Emphasis"/>
        </w:rPr>
        <w:t>[that] to put trust in past experience, and make it the standard of our future judgment,[can] these arguments must be probable</w:t>
      </w:r>
      <w:r w:rsidRPr="00E5564B">
        <w:rPr>
          <w:rFonts w:cs="Calibri"/>
          <w:bCs/>
          <w:color w:val="000000"/>
          <w:sz w:val="16"/>
          <w:szCs w:val="16"/>
        </w:rPr>
        <w:t xml:space="preserve"> only, or such as regard matter of fact and real existence according to the division above mentioned. But that there is no argument of this kind, must</w:t>
      </w:r>
      <w:r w:rsidRPr="00E5564B">
        <w:rPr>
          <w:rFonts w:cs="Calibri"/>
          <w:color w:val="000000"/>
          <w:sz w:val="16"/>
          <w:szCs w:val="16"/>
        </w:rPr>
        <w:t xml:space="preserve"> appear, if our explication of that species of reasoning </w:t>
      </w:r>
      <w:r w:rsidRPr="00E5564B">
        <w:rPr>
          <w:rFonts w:cs="Calibri"/>
          <w:bCs/>
          <w:color w:val="000000"/>
          <w:sz w:val="16"/>
          <w:szCs w:val="16"/>
        </w:rPr>
        <w:t>[can] be admitted as solid and satisfactory. We have said that all [these]</w:t>
      </w:r>
      <w:r w:rsidRPr="008962E3">
        <w:rPr>
          <w:sz w:val="16"/>
          <w:szCs w:val="16"/>
        </w:rPr>
        <w:t xml:space="preserve"> </w:t>
      </w:r>
      <w:r w:rsidRPr="008962E3">
        <w:rPr>
          <w:rStyle w:val="Emphasis"/>
          <w:highlight w:val="green"/>
        </w:rPr>
        <w:t>arguments [that trust in</w:t>
      </w:r>
      <w:r w:rsidRPr="008962E3">
        <w:rPr>
          <w:rStyle w:val="Emphasis"/>
        </w:rPr>
        <w:t xml:space="preserve"> past </w:t>
      </w:r>
      <w:r w:rsidRPr="008962E3">
        <w:rPr>
          <w:rStyle w:val="Emphasis"/>
          <w:highlight w:val="green"/>
        </w:rPr>
        <w:t>experience</w:t>
      </w:r>
      <w:r w:rsidRPr="008962E3">
        <w:rPr>
          <w:rStyle w:val="Emphasis"/>
        </w:rPr>
        <w:t>]</w:t>
      </w:r>
      <w:r w:rsidRPr="000043D5">
        <w:rPr>
          <w:rFonts w:cs="Calibri"/>
          <w:color w:val="000000"/>
        </w:rPr>
        <w:t xml:space="preserve"> </w:t>
      </w:r>
      <w:r w:rsidRPr="00E5564B">
        <w:rPr>
          <w:rFonts w:cs="Calibri"/>
          <w:color w:val="000000"/>
          <w:sz w:val="16"/>
          <w:szCs w:val="16"/>
        </w:rPr>
        <w:t xml:space="preserve">concerning existence </w:t>
      </w:r>
      <w:r w:rsidRPr="008962E3">
        <w:rPr>
          <w:rStyle w:val="Emphasis"/>
          <w:highlight w:val="green"/>
        </w:rPr>
        <w:t>are founded on the [assumption that]</w:t>
      </w:r>
      <w:r w:rsidRPr="008962E3">
        <w:rPr>
          <w:sz w:val="16"/>
          <w:szCs w:val="16"/>
        </w:rPr>
        <w:t xml:space="preserve"> </w:t>
      </w:r>
      <w:r w:rsidRPr="00E5564B">
        <w:rPr>
          <w:rFonts w:cs="Calibri"/>
          <w:color w:val="000000"/>
          <w:sz w:val="16"/>
          <w:szCs w:val="16"/>
        </w:rPr>
        <w:t>relation of cause and effect; that our knowledge of that relation is derived entirely from experience; and that all our experimental conclusions proceed upon the supposition that</w:t>
      </w:r>
      <w:r w:rsidRPr="008962E3">
        <w:rPr>
          <w:sz w:val="16"/>
          <w:szCs w:val="16"/>
        </w:rPr>
        <w:t xml:space="preserve"> </w:t>
      </w:r>
      <w:r w:rsidRPr="008962E3">
        <w:rPr>
          <w:rStyle w:val="Emphasis"/>
          <w:highlight w:val="green"/>
        </w:rPr>
        <w:t>the future will be conformable to the past</w:t>
      </w:r>
      <w:r w:rsidRPr="008962E3">
        <w:rPr>
          <w:rStyle w:val="Emphasis"/>
        </w:rPr>
        <w:t>.</w:t>
      </w:r>
      <w:r w:rsidRPr="000043D5">
        <w:rPr>
          <w:rFonts w:cs="Calibri"/>
          <w:color w:val="000000"/>
          <w:szCs w:val="22"/>
        </w:rPr>
        <w:t xml:space="preserve"> </w:t>
      </w:r>
      <w:r w:rsidRPr="00E5564B">
        <w:rPr>
          <w:rFonts w:cs="Calibri"/>
          <w:color w:val="000000"/>
          <w:sz w:val="16"/>
          <w:szCs w:val="16"/>
        </w:rPr>
        <w:t xml:space="preserve">To endeavour, therefore, </w:t>
      </w:r>
      <w:r w:rsidRPr="008962E3">
        <w:rPr>
          <w:rStyle w:val="Emphasis"/>
          <w:highlight w:val="green"/>
        </w:rPr>
        <w:t>the proof of this last supposition by probable arguments</w:t>
      </w:r>
      <w:r w:rsidRPr="000043D5">
        <w:rPr>
          <w:rFonts w:cs="Calibri"/>
          <w:color w:val="000000"/>
          <w:sz w:val="14"/>
          <w:szCs w:val="14"/>
        </w:rPr>
        <w:t xml:space="preserve">, </w:t>
      </w:r>
      <w:r w:rsidRPr="00E5564B">
        <w:rPr>
          <w:rFonts w:cs="Calibri"/>
          <w:color w:val="000000"/>
          <w:sz w:val="16"/>
          <w:szCs w:val="16"/>
        </w:rPr>
        <w:t>or arguments regarding existence</w:t>
      </w:r>
      <w:r w:rsidRPr="000043D5">
        <w:rPr>
          <w:rFonts w:cs="Calibri"/>
          <w:color w:val="000000"/>
          <w:sz w:val="14"/>
          <w:szCs w:val="14"/>
        </w:rPr>
        <w:t>,</w:t>
      </w:r>
      <w:r w:rsidRPr="000043D5">
        <w:rPr>
          <w:rFonts w:cs="Calibri"/>
          <w:color w:val="000000"/>
          <w:sz w:val="14"/>
          <w:szCs w:val="14"/>
          <w:u w:val="single"/>
        </w:rPr>
        <w:t xml:space="preserve"> </w:t>
      </w:r>
      <w:r w:rsidRPr="008962E3">
        <w:rPr>
          <w:rStyle w:val="Emphasis"/>
          <w:highlight w:val="green"/>
        </w:rPr>
        <w:t>must be</w:t>
      </w:r>
      <w:r w:rsidRPr="008962E3">
        <w:rPr>
          <w:rStyle w:val="Emphasis"/>
        </w:rPr>
        <w:t xml:space="preserve"> evidently </w:t>
      </w:r>
      <w:r w:rsidRPr="008962E3">
        <w:rPr>
          <w:rStyle w:val="Emphasis"/>
          <w:highlight w:val="green"/>
        </w:rPr>
        <w:t>going in a circle</w:t>
      </w:r>
      <w:r w:rsidRPr="008962E3">
        <w:rPr>
          <w:rStyle w:val="Emphasis"/>
        </w:rPr>
        <w:t>,</w:t>
      </w:r>
      <w:r w:rsidRPr="000043D5">
        <w:rPr>
          <w:rFonts w:cs="Calibri"/>
          <w:color w:val="000000"/>
          <w:sz w:val="14"/>
          <w:szCs w:val="14"/>
        </w:rPr>
        <w:t xml:space="preserve"> </w:t>
      </w:r>
      <w:r w:rsidRPr="00E5564B">
        <w:rPr>
          <w:rFonts w:cs="Calibri"/>
          <w:color w:val="000000"/>
          <w:sz w:val="16"/>
          <w:szCs w:val="16"/>
        </w:rPr>
        <w:t>and taking that for granted,</w:t>
      </w:r>
      <w:r w:rsidRPr="000043D5">
        <w:rPr>
          <w:rFonts w:cs="Calibri"/>
          <w:color w:val="000000"/>
          <w:sz w:val="14"/>
          <w:szCs w:val="14"/>
        </w:rPr>
        <w:t xml:space="preserve"> </w:t>
      </w:r>
      <w:r w:rsidRPr="00E5564B">
        <w:rPr>
          <w:rFonts w:cs="Calibri"/>
          <w:color w:val="000000"/>
          <w:sz w:val="16"/>
          <w:szCs w:val="16"/>
        </w:rPr>
        <w:t>which is the very point in question.</w:t>
      </w:r>
    </w:p>
    <w:p w14:paraId="22EFEEE8" w14:textId="77777777" w:rsidR="00387E7F" w:rsidRDefault="00387E7F" w:rsidP="00387E7F">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69AD06C8" w14:textId="77777777" w:rsidR="00387E7F" w:rsidRDefault="00387E7F" w:rsidP="00387E7F">
      <w:r w:rsidRPr="001C13E7">
        <w:rPr>
          <w:rStyle w:val="Style13ptBold"/>
        </w:rPr>
        <w:t>McHugh</w:t>
      </w:r>
      <w:r w:rsidRPr="001C13E7">
        <w:rPr>
          <w:sz w:val="16"/>
          <w:szCs w:val="16"/>
        </w:rPr>
        <w:t xml:space="preserve"> </w:t>
      </w:r>
      <w:hyperlink r:id="rId9" w:history="1">
        <w:r w:rsidRPr="001C13E7">
          <w:rPr>
            <w:rStyle w:val="Hyperlink"/>
            <w:sz w:val="16"/>
            <w:szCs w:val="16"/>
          </w:rPr>
          <w:t>http://brothersjuddblog.com/archives/2002/05/an_open_question.html</w:t>
        </w:r>
      </w:hyperlink>
      <w:r w:rsidRPr="001C13E7">
        <w:rPr>
          <w:sz w:val="16"/>
          <w:szCs w:val="16"/>
        </w:rPr>
        <w:t xml:space="preserve"> *original website is down but this URL works and cites the original IEP article* //ACCS JM</w:t>
      </w:r>
    </w:p>
    <w:p w14:paraId="2DEA11F4" w14:textId="77777777" w:rsidR="00387E7F" w:rsidRPr="00F70AC9" w:rsidRDefault="00387E7F" w:rsidP="00387E7F">
      <w:pPr>
        <w:rPr>
          <w:sz w:val="16"/>
        </w:rPr>
      </w:pPr>
      <w:r w:rsidRPr="00F70AC9">
        <w:rPr>
          <w:sz w:val="16"/>
        </w:rPr>
        <w:t xml:space="preserve">The naturalistic fallacy is a metaethical theory proposed by G.E. Moore (1873-1958) in Principia Ethica (1903) that </w:t>
      </w:r>
      <w:r w:rsidRPr="003D7C3E">
        <w:rPr>
          <w:rStyle w:val="Emphasis"/>
        </w:rPr>
        <w:t>the notion of moral goodness cannot be defined</w:t>
      </w:r>
      <w:r w:rsidRPr="003D7C3E">
        <w:rPr>
          <w:rStyle w:val="StyleUnderline"/>
        </w:rPr>
        <w:t xml:space="preserve"> or identified </w:t>
      </w:r>
      <w:r w:rsidRPr="003D7C3E">
        <w:rPr>
          <w:rStyle w:val="Emphasis"/>
        </w:rPr>
        <w:t>with any property.</w:t>
      </w:r>
      <w:r w:rsidRPr="00F70AC9">
        <w:rPr>
          <w:sz w:val="16"/>
        </w:rPr>
        <w:t xml:space="preserve"> Moore argues that </w:t>
      </w:r>
      <w:r>
        <w:rPr>
          <w:rStyle w:val="Emphasis"/>
          <w:highlight w:val="green"/>
        </w:rPr>
        <w:t>“</w:t>
      </w:r>
      <w:r w:rsidRPr="003D7C3E">
        <w:rPr>
          <w:rStyle w:val="Emphasis"/>
          <w:highlight w:val="green"/>
        </w:rPr>
        <w:t>goodness</w:t>
      </w:r>
      <w:r>
        <w:rPr>
          <w:rStyle w:val="Emphasis"/>
          <w:highlight w:val="green"/>
        </w:rPr>
        <w:t>”</w:t>
      </w:r>
      <w:r w:rsidRPr="003D7C3E">
        <w:rPr>
          <w:rStyle w:val="Emphasis"/>
          <w:highlight w:val="green"/>
        </w:rPr>
        <w:t xml:space="preserve"> is</w:t>
      </w:r>
      <w:r w:rsidRPr="00F70AC9">
        <w:rPr>
          <w:sz w:val="16"/>
        </w:rPr>
        <w:t xml:space="preserve"> a foundational and unanalyzable property, </w:t>
      </w:r>
      <w:r w:rsidRPr="003D7C3E">
        <w:rPr>
          <w:rStyle w:val="Emphasis"/>
          <w:highlight w:val="green"/>
        </w:rPr>
        <w:t>similar to the</w:t>
      </w:r>
      <w:r w:rsidRPr="00F70AC9">
        <w:rPr>
          <w:sz w:val="16"/>
        </w:rPr>
        <w:t xml:space="preserve"> foundational </w:t>
      </w:r>
      <w:r w:rsidRPr="003D7C3E">
        <w:rPr>
          <w:rStyle w:val="Emphasis"/>
          <w:highlight w:val="green"/>
        </w:rPr>
        <w:t xml:space="preserve">notion of </w:t>
      </w:r>
      <w:r>
        <w:rPr>
          <w:rStyle w:val="Emphasis"/>
          <w:highlight w:val="green"/>
        </w:rPr>
        <w:t>“</w:t>
      </w:r>
      <w:r w:rsidRPr="003D7C3E">
        <w:rPr>
          <w:rStyle w:val="Emphasis"/>
          <w:highlight w:val="green"/>
        </w:rPr>
        <w:t>yellowness,</w:t>
      </w:r>
      <w:r>
        <w:rPr>
          <w:rStyle w:val="Emphasis"/>
          <w:highlight w:val="green"/>
        </w:rPr>
        <w:t>”</w:t>
      </w:r>
      <w:r w:rsidRPr="003D7C3E">
        <w:rPr>
          <w:rStyle w:val="Emphasis"/>
          <w:highlight w:val="green"/>
        </w:rPr>
        <w:t xml:space="preserve"> and is not capable of being explained</w:t>
      </w:r>
      <w:r w:rsidRPr="00F70AC9">
        <w:rPr>
          <w:sz w:val="16"/>
        </w:rPr>
        <w:t xml:space="preserve"> in terms of anything more basic. </w:t>
      </w:r>
      <w:r w:rsidRPr="003D7C3E">
        <w:rPr>
          <w:rStyle w:val="StyleUnderline"/>
        </w:rPr>
        <w:t xml:space="preserve">We intuitively recognize goodness when we see it, as </w:t>
      </w:r>
      <w:r w:rsidRPr="003D7C3E">
        <w:rPr>
          <w:rStyle w:val="Emphasis"/>
          <w:highlight w:val="green"/>
        </w:rPr>
        <w:t>we</w:t>
      </w:r>
      <w:r w:rsidRPr="003D7C3E">
        <w:rPr>
          <w:rStyle w:val="StyleUnderline"/>
        </w:rPr>
        <w:t xml:space="preserve"> similarly </w:t>
      </w:r>
      <w:r w:rsidRPr="003D7C3E">
        <w:rPr>
          <w:rStyle w:val="Emphasis"/>
          <w:highlight w:val="green"/>
        </w:rPr>
        <w:t>recognize yellowness when we see it. But</w:t>
      </w:r>
      <w:r w:rsidRPr="003D7C3E">
        <w:rPr>
          <w:rStyle w:val="StyleUnderline"/>
        </w:rPr>
        <w:t xml:space="preserve"> the notion of "goodness" </w:t>
      </w:r>
      <w:r w:rsidRPr="003D7C3E">
        <w:rPr>
          <w:rStyle w:val="Emphasis"/>
          <w:highlight w:val="green"/>
        </w:rPr>
        <w:t>it</w:t>
      </w:r>
      <w:r w:rsidRPr="003D7C3E">
        <w:rPr>
          <w:rStyle w:val="StyleUnderline"/>
        </w:rPr>
        <w:t xml:space="preserve">self </w:t>
      </w:r>
      <w:r w:rsidRPr="003D7C3E">
        <w:rPr>
          <w:rStyle w:val="Emphasis"/>
          <w:highlight w:val="green"/>
        </w:rPr>
        <w:t>cannot be defined.</w:t>
      </w:r>
      <w:r w:rsidRPr="00F70AC9">
        <w:rPr>
          <w:sz w:val="16"/>
        </w:rPr>
        <w:t xml:space="preserve"> For Moore, philosophers who attempt to define intrinsic goodness commit the naturalistic fallacy, the fallacy of defining the term "goodness" in terms of some natural property, such as pleasure. Moore defends his contention with what has been called the open question argument. For any property we attempt to identify with "goodness," we can ask, "Is that property itself good?" For example, if I claim that pleasure is the highest intrinsic good, the question can be asked, "But, is pleasure itself good?" The fact that this question makes sense shows that "pleasure" and "goodness" are not identical. Moore believes that no proposed natural property can pass the test of the open question argument. This implies that all </w:t>
      </w:r>
      <w:r w:rsidRPr="00BB6BBE">
        <w:rPr>
          <w:rStyle w:val="Emphasis"/>
        </w:rPr>
        <w:t>moral theories fail that are based on anything other than</w:t>
      </w:r>
      <w:r w:rsidRPr="00BB6BBE">
        <w:rPr>
          <w:rStyle w:val="StyleUnderline"/>
        </w:rPr>
        <w:t xml:space="preserve"> immediate moral </w:t>
      </w:r>
      <w:r w:rsidRPr="00BB6BBE">
        <w:rPr>
          <w:rStyle w:val="Emphasis"/>
        </w:rPr>
        <w:t>intuition.</w:t>
      </w:r>
      <w:r w:rsidRPr="00F70AC9">
        <w:rPr>
          <w:sz w:val="16"/>
        </w:rPr>
        <w:t xml:space="preserve"> It is only of secondary importance whether an action produces pleasure, is in accord with the will of God, or is conducive to reason. What truly matters is whether we can simply recognize the goodness of a particular action. </w:t>
      </w:r>
    </w:p>
    <w:p w14:paraId="07BF9BAE" w14:textId="77777777" w:rsidR="00387E7F" w:rsidRPr="00DB378E" w:rsidRDefault="00387E7F" w:rsidP="00387E7F">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5CC4141D" w14:textId="77777777" w:rsidR="00387E7F" w:rsidRPr="00DB378E" w:rsidRDefault="00387E7F" w:rsidP="00387E7F">
      <w:pPr>
        <w:rPr>
          <w:rFonts w:cs="Calibri"/>
          <w:sz w:val="16"/>
          <w:szCs w:val="16"/>
        </w:rPr>
      </w:pPr>
      <w:r w:rsidRPr="008962E3">
        <w:rPr>
          <w:rStyle w:val="Style13ptBold"/>
        </w:rPr>
        <w:t>McMahan</w:t>
      </w:r>
      <w:r w:rsidRPr="00DB378E">
        <w:rPr>
          <w:rFonts w:cs="Calibri"/>
          <w:sz w:val="16"/>
          <w:szCs w:val="16"/>
        </w:rPr>
        <w:t>, Jeff [</w:t>
      </w:r>
      <w:hyperlink r:id="rId10" w:history="1">
        <w:r w:rsidRPr="00DB378E">
          <w:rPr>
            <w:rStyle w:val="Hyperlink"/>
            <w:rFonts w:cs="Calibri"/>
            <w:sz w:val="16"/>
            <w:szCs w:val="16"/>
          </w:rPr>
          <w:t>http://www.philosophy.rutgers.edu/joomlatools-files/docman-files/Moral%20Intuition%202nd%20edition.pdf</w:t>
        </w:r>
      </w:hyperlink>
      <w:r w:rsidRPr="00DB378E">
        <w:rPr>
          <w:rFonts w:cs="Calibri"/>
          <w:sz w:val="16"/>
          <w:szCs w:val="16"/>
        </w:rPr>
        <w:t>] //Massa</w:t>
      </w:r>
    </w:p>
    <w:p w14:paraId="69447553" w14:textId="77777777" w:rsidR="00387E7F" w:rsidRDefault="00387E7F" w:rsidP="00387E7F">
      <w:pPr>
        <w:pStyle w:val="NormalWeb"/>
        <w:rPr>
          <w:rFonts w:ascii="TimesNewRomanPSMT" w:hAnsi="TimesNewRomanPSMT" w:cs="TimesNewRomanPSMT"/>
          <w:sz w:val="16"/>
          <w:szCs w:val="16"/>
        </w:rPr>
      </w:pPr>
      <w:r>
        <w:rPr>
          <w:rFonts w:cs="Calibri"/>
          <w:color w:val="000000"/>
          <w:sz w:val="16"/>
          <w:szCs w:val="16"/>
        </w:rPr>
        <w:t xml:space="preserve">What are moral intuitions? </w:t>
      </w:r>
      <w:r w:rsidRPr="00795BF2">
        <w:rPr>
          <w:rFonts w:cs="Calibri"/>
          <w:color w:val="000000"/>
          <w:sz w:val="16"/>
          <w:szCs w:val="16"/>
        </w:rPr>
        <w:t>As I will understand the term</w:t>
      </w:r>
      <w:r w:rsidRPr="00795BF2">
        <w:rPr>
          <w:rFonts w:cs="Calibri"/>
          <w:color w:val="000000"/>
          <w:szCs w:val="22"/>
        </w:rPr>
        <w:t xml:space="preserve">, </w:t>
      </w:r>
      <w:r w:rsidRPr="00F70AC9">
        <w:rPr>
          <w:rStyle w:val="Emphasis"/>
          <w:highlight w:val="green"/>
        </w:rPr>
        <w:t>a</w:t>
      </w:r>
      <w:r w:rsidRPr="00F70AC9">
        <w:rPr>
          <w:rStyle w:val="Emphasis"/>
        </w:rPr>
        <w:t xml:space="preserve"> moral </w:t>
      </w:r>
      <w:r w:rsidRPr="00F70AC9">
        <w:rPr>
          <w:rStyle w:val="Emphasis"/>
          <w:highlight w:val="green"/>
        </w:rPr>
        <w:t>intuition is a</w:t>
      </w:r>
      <w:r w:rsidRPr="00F70AC9">
        <w:rPr>
          <w:rStyle w:val="Emphasis"/>
        </w:rPr>
        <w:t xml:space="preserve"> moral </w:t>
      </w:r>
      <w:r w:rsidRPr="00F70AC9">
        <w:rPr>
          <w:rStyle w:val="Emphasis"/>
          <w:highlight w:val="green"/>
        </w:rPr>
        <w:t>judgment</w:t>
      </w:r>
      <w:r w:rsidRPr="00F70AC9">
        <w:rPr>
          <w:sz w:val="16"/>
          <w:szCs w:val="16"/>
        </w:rPr>
        <w:t xml:space="preserve"> </w:t>
      </w:r>
      <w:r w:rsidRPr="00795BF2">
        <w:rPr>
          <w:rFonts w:cs="Calibri"/>
          <w:color w:val="000000"/>
          <w:sz w:val="16"/>
          <w:szCs w:val="16"/>
        </w:rPr>
        <w:t>– typically about a particular problem, a particular act, or a particular agent, though possibly also about a moral rule or principle –</w:t>
      </w:r>
      <w:r w:rsidRPr="00795BF2">
        <w:rPr>
          <w:rFonts w:cs="Calibri"/>
          <w:color w:val="000000"/>
          <w:szCs w:val="22"/>
        </w:rPr>
        <w:t xml:space="preserve"> </w:t>
      </w:r>
      <w:r w:rsidRPr="00F70AC9">
        <w:rPr>
          <w:rStyle w:val="Emphasis"/>
          <w:highlight w:val="green"/>
        </w:rPr>
        <w:t>that is not the result of inferential reasoning</w:t>
      </w:r>
      <w:r w:rsidRPr="00795BF2">
        <w:rPr>
          <w:rFonts w:cs="Calibri"/>
          <w:color w:val="000000"/>
          <w:szCs w:val="22"/>
        </w:rPr>
        <w:t xml:space="preserve">. </w:t>
      </w:r>
      <w:r w:rsidRPr="00795BF2">
        <w:rPr>
          <w:rFonts w:cs="Calibri"/>
          <w:color w:val="000000"/>
          <w:sz w:val="16"/>
          <w:szCs w:val="16"/>
        </w:rPr>
        <w:t>It is not inferred from one’s other beliefs but arises on its own</w:t>
      </w:r>
      <w:r w:rsidRPr="00795BF2">
        <w:rPr>
          <w:rFonts w:cs="Calibri"/>
          <w:color w:val="000000"/>
          <w:szCs w:val="22"/>
        </w:rPr>
        <w:t xml:space="preserve">. </w:t>
      </w:r>
      <w:r w:rsidRPr="00F70AC9">
        <w:rPr>
          <w:rStyle w:val="Emphasis"/>
          <w:highlight w:val="green"/>
        </w:rPr>
        <w:t>If I consider</w:t>
      </w:r>
      <w:r w:rsidRPr="00F70AC9">
        <w:rPr>
          <w:rStyle w:val="Emphasis"/>
        </w:rPr>
        <w:t xml:space="preserve"> the act of </w:t>
      </w:r>
      <w:r w:rsidRPr="00F70AC9">
        <w:rPr>
          <w:rStyle w:val="Emphasis"/>
          <w:highlight w:val="green"/>
        </w:rPr>
        <w:t>torturing the cat, I judge immediately that</w:t>
      </w:r>
      <w:r w:rsidRPr="00F70AC9">
        <w:rPr>
          <w:sz w:val="16"/>
          <w:szCs w:val="16"/>
        </w:rPr>
        <w:t xml:space="preserve">, </w:t>
      </w:r>
      <w:r w:rsidRPr="00795BF2">
        <w:rPr>
          <w:rFonts w:cs="Calibri"/>
          <w:color w:val="000000"/>
          <w:sz w:val="16"/>
          <w:szCs w:val="16"/>
        </w:rPr>
        <w:t>in the circumstances</w:t>
      </w:r>
      <w:r w:rsidRPr="00F70AC9">
        <w:rPr>
          <w:rFonts w:cs="Calibri"/>
          <w:color w:val="000000"/>
          <w:sz w:val="16"/>
          <w:szCs w:val="16"/>
        </w:rPr>
        <w:t xml:space="preserve">, </w:t>
      </w:r>
      <w:r w:rsidRPr="00F70AC9">
        <w:rPr>
          <w:rStyle w:val="Emphasis"/>
          <w:highlight w:val="green"/>
        </w:rPr>
        <w:t>this would be wrong. I do not need to consult my other beliefs</w:t>
      </w:r>
      <w:r w:rsidRPr="00F70AC9">
        <w:rPr>
          <w:rStyle w:val="Emphasis"/>
        </w:rPr>
        <w:t xml:space="preserve"> in order </w:t>
      </w:r>
      <w:r w:rsidRPr="00F70AC9">
        <w:rPr>
          <w:rStyle w:val="Emphasis"/>
          <w:highlight w:val="green"/>
        </w:rPr>
        <w:t>to arrive at this judgment</w:t>
      </w:r>
      <w:r w:rsidRPr="00F70AC9">
        <w:rPr>
          <w:rStyle w:val="Emphasis"/>
        </w:rPr>
        <w:t>.</w:t>
      </w:r>
      <w:r w:rsidRPr="00795BF2">
        <w:rPr>
          <w:rFonts w:cs="Calibri"/>
          <w:color w:val="000000"/>
          <w:szCs w:val="22"/>
        </w:rPr>
        <w:t xml:space="preserve"> </w:t>
      </w:r>
      <w:r w:rsidRPr="00795BF2">
        <w:rPr>
          <w:rFonts w:cs="Calibri"/>
          <w:color w:val="000000"/>
          <w:sz w:val="16"/>
          <w:szCs w:val="16"/>
        </w:rPr>
        <w:t xml:space="preserve">This is not to say that a </w:t>
      </w:r>
      <w:r w:rsidRPr="00F70AC9">
        <w:rPr>
          <w:rFonts w:cs="Calibri"/>
          <w:color w:val="000000"/>
          <w:sz w:val="16"/>
          <w:szCs w:val="16"/>
        </w:rPr>
        <w:t xml:space="preserve">moral intuition is necessarily elicited instantaneously, the way a sense perception is. </w:t>
      </w:r>
      <w:r w:rsidRPr="00F70AC9">
        <w:rPr>
          <w:rFonts w:ascii="TimesNewRomanPSMT" w:hAnsi="TimesNewRomanPSMT" w:cs="TimesNewRomanPSMT"/>
          <w:sz w:val="16"/>
          <w:szCs w:val="16"/>
        </w:rPr>
        <w:t>If a particular problem or case is complex, one may have to consider it at length in order to distinguish and assimilate its various relevant features—in much the same way that one might have to examine the many details of a highly complex work of art in order to judge or appreciate it.</w:t>
      </w:r>
    </w:p>
    <w:p w14:paraId="0255D45D" w14:textId="77777777" w:rsidR="00387E7F" w:rsidRPr="004069B2" w:rsidRDefault="00387E7F" w:rsidP="00387E7F">
      <w:pPr>
        <w:pStyle w:val="Heading4"/>
        <w:rPr>
          <w:sz w:val="16"/>
          <w:szCs w:val="16"/>
        </w:rPr>
      </w:pPr>
      <w:r>
        <w:t>Prefer the standard additionally:</w:t>
      </w:r>
    </w:p>
    <w:p w14:paraId="31C093C8" w14:textId="77777777" w:rsidR="00387E7F" w:rsidRDefault="00387E7F" w:rsidP="00387E7F">
      <w:pPr>
        <w:pStyle w:val="Heading4"/>
      </w:pPr>
      <w:r>
        <w:t>First, rule following fails –</w:t>
      </w:r>
    </w:p>
    <w:p w14:paraId="43F228A4" w14:textId="77777777" w:rsidR="00387E7F" w:rsidRDefault="00387E7F" w:rsidP="00387E7F">
      <w:pPr>
        <w:pStyle w:val="Heading4"/>
      </w:pPr>
      <w:r>
        <w:t>Second, motivation –</w:t>
      </w:r>
    </w:p>
    <w:p w14:paraId="3C0DE2E9" w14:textId="77777777" w:rsidR="00387E7F" w:rsidRDefault="00387E7F" w:rsidP="00387E7F">
      <w:pPr>
        <w:pStyle w:val="Heading4"/>
      </w:pPr>
      <w:r>
        <w:t>Third, n</w:t>
      </w:r>
      <w:r w:rsidRPr="006C3A52">
        <w:t>ot following intuitions produces poor ontological understandings of the self</w:t>
      </w:r>
      <w:r>
        <w:t xml:space="preserve"> –</w:t>
      </w:r>
    </w:p>
    <w:p w14:paraId="16DF11E5" w14:textId="77777777" w:rsidR="00387E7F" w:rsidRDefault="00387E7F" w:rsidP="00387E7F">
      <w:pPr>
        <w:pStyle w:val="Heading4"/>
      </w:pPr>
      <w:r>
        <w:t>Impact Calc:</w:t>
      </w:r>
    </w:p>
    <w:p w14:paraId="4B2DABA7" w14:textId="5F79A21F" w:rsidR="00387E7F" w:rsidRDefault="00387E7F" w:rsidP="00387E7F">
      <w:pPr>
        <w:pStyle w:val="Heading4"/>
      </w:pPr>
      <w:r>
        <w:t>M</w:t>
      </w:r>
      <w:r w:rsidRPr="001E4A3B">
        <w:t>oral intuitions can be rationally unsound</w:t>
      </w:r>
      <w:r>
        <w:t xml:space="preserve"> –</w:t>
      </w:r>
    </w:p>
    <w:p w14:paraId="321F02F4" w14:textId="77777777" w:rsidR="00387E7F" w:rsidRDefault="00387E7F" w:rsidP="00387E7F">
      <w:pPr>
        <w:pStyle w:val="Heading3"/>
      </w:pPr>
      <w:r>
        <w:t>Offense</w:t>
      </w:r>
    </w:p>
    <w:p w14:paraId="6AC129F2" w14:textId="77777777" w:rsidR="00387E7F" w:rsidRDefault="00387E7F" w:rsidP="00387E7F">
      <w:pPr>
        <w:pStyle w:val="Heading4"/>
      </w:pPr>
      <w:r>
        <w:t xml:space="preserve">I affirm Resolved: </w:t>
      </w:r>
      <w:r w:rsidRPr="00C90568">
        <w:t>The member nations of the World Trade Organization ought to reduce intellectual property protections for medicines.</w:t>
      </w:r>
    </w:p>
    <w:p w14:paraId="0F732AEB" w14:textId="77777777" w:rsidR="00387E7F" w:rsidRDefault="00387E7F" w:rsidP="00387E7F">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50423277" w14:textId="77777777" w:rsidR="00387E7F" w:rsidRPr="00CB7711" w:rsidRDefault="00387E7F" w:rsidP="00387E7F">
      <w:pPr>
        <w:rPr>
          <w:sz w:val="16"/>
          <w:szCs w:val="16"/>
        </w:rPr>
      </w:pPr>
      <w:r w:rsidRPr="00CB7711">
        <w:rPr>
          <w:rStyle w:val="Style13ptBold"/>
        </w:rPr>
        <w:t>Lucas 08</w:t>
      </w:r>
      <w:r w:rsidRPr="00CB7711">
        <w:rPr>
          <w:sz w:val="16"/>
          <w:szCs w:val="16"/>
        </w:rPr>
        <w:t>, Margery. “FAIR GAME: THE INTUITIVE ECONOMICS OF RESOURCE EXCHANGE IN FOUR-YEAR OLDS.” Journal of Social, Evolutionary, and Behavioral Psychology, 2008, citeseerx.ist.psu.edu/viewdoc/download?doi=10.1.1.470.8506&amp;rep=rep1&amp;type=pdf. //Massa</w:t>
      </w:r>
    </w:p>
    <w:p w14:paraId="1696E8CF" w14:textId="77777777" w:rsidR="00387E7F" w:rsidRPr="00552AFF" w:rsidRDefault="00387E7F" w:rsidP="00387E7F">
      <w:pPr>
        <w:spacing w:after="0" w:line="276" w:lineRule="auto"/>
        <w:rPr>
          <w:rFonts w:eastAsia="Times New Roman"/>
          <w:b/>
          <w:szCs w:val="26"/>
        </w:rPr>
      </w:pPr>
      <w:r w:rsidRPr="000B0DFA">
        <w:rPr>
          <w:rFonts w:eastAsia="Times New Roman"/>
          <w:sz w:val="16"/>
          <w:szCs w:val="16"/>
        </w:rPr>
        <w:t>There has been a great deal of interest in the study of intuitive knowledge in young children but not much is known about the development of</w:t>
      </w:r>
      <w:r w:rsidRPr="002157C0">
        <w:rPr>
          <w:rFonts w:eastAsia="Times New Roman"/>
          <w:b/>
          <w:szCs w:val="26"/>
        </w:rPr>
        <w:t xml:space="preserve"> </w:t>
      </w:r>
      <w:r w:rsidRPr="00035FD3">
        <w:rPr>
          <w:rFonts w:eastAsia="Times New Roman"/>
          <w:b/>
          <w:szCs w:val="22"/>
          <w:highlight w:val="green"/>
          <w:u w:val="single"/>
        </w:rPr>
        <w:t>intuitive</w:t>
      </w:r>
      <w:r w:rsidRPr="002157C0">
        <w:rPr>
          <w:rFonts w:eastAsia="Times New Roman"/>
          <w:b/>
          <w:szCs w:val="26"/>
        </w:rPr>
        <w:t xml:space="preserve"> </w:t>
      </w:r>
      <w:r w:rsidRPr="000B0DFA">
        <w:rPr>
          <w:rFonts w:eastAsia="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b/>
          <w:szCs w:val="22"/>
          <w:highlight w:val="green"/>
          <w:u w:val="single"/>
        </w:rPr>
        <w:t>ability to engage</w:t>
      </w:r>
      <w:r w:rsidRPr="00552AFF">
        <w:rPr>
          <w:rFonts w:eastAsia="Times New Roman"/>
          <w:b/>
          <w:szCs w:val="22"/>
          <w:u w:val="single"/>
        </w:rPr>
        <w:t xml:space="preserve"> in fair and </w:t>
      </w:r>
      <w:r w:rsidRPr="00035FD3">
        <w:rPr>
          <w:rFonts w:eastAsia="Times New Roman"/>
          <w:b/>
          <w:szCs w:val="22"/>
          <w:highlight w:val="green"/>
          <w:u w:val="single"/>
        </w:rPr>
        <w:t>reciprocal transactions</w:t>
      </w:r>
      <w:r w:rsidRPr="002157C0">
        <w:rPr>
          <w:rFonts w:eastAsia="Times New Roman"/>
          <w:b/>
          <w:szCs w:val="26"/>
        </w:rPr>
        <w:t xml:space="preserve"> </w:t>
      </w:r>
      <w:r w:rsidRPr="000B0DFA">
        <w:rPr>
          <w:rFonts w:eastAsia="Times New Roman"/>
          <w:sz w:val="16"/>
          <w:szCs w:val="16"/>
        </w:rPr>
        <w:t>involving food and other resources has probably been important throughout human evolutionary history (Dunbar, 1996; Winterhalder, 2001)</w:t>
      </w:r>
      <w:r w:rsidRPr="002157C0">
        <w:rPr>
          <w:rFonts w:eastAsia="Times New Roman"/>
          <w:b/>
          <w:sz w:val="12"/>
          <w:szCs w:val="12"/>
          <w:u w:val="single"/>
        </w:rPr>
        <w:t xml:space="preserve"> </w:t>
      </w:r>
      <w:r w:rsidRPr="00035FD3">
        <w:rPr>
          <w:rFonts w:eastAsia="Times New Roman"/>
          <w:b/>
          <w:szCs w:val="22"/>
          <w:highlight w:val="green"/>
          <w:u w:val="single"/>
        </w:rPr>
        <w:t>suggesting that</w:t>
      </w:r>
      <w:r w:rsidRPr="002157C0">
        <w:rPr>
          <w:rFonts w:eastAsia="Times New Roman"/>
          <w:b/>
          <w:szCs w:val="26"/>
        </w:rPr>
        <w:t xml:space="preserve"> </w:t>
      </w:r>
      <w:r w:rsidRPr="000B0DFA">
        <w:rPr>
          <w:rFonts w:eastAsia="Times New Roman"/>
          <w:sz w:val="16"/>
          <w:szCs w:val="16"/>
        </w:rPr>
        <w:t>fairness, reciprocity, and</w:t>
      </w:r>
      <w:r w:rsidRPr="002157C0">
        <w:rPr>
          <w:rFonts w:eastAsia="Times New Roman"/>
          <w:b/>
          <w:szCs w:val="26"/>
        </w:rPr>
        <w:t xml:space="preserve"> </w:t>
      </w:r>
      <w:r w:rsidRPr="00035FD3">
        <w:rPr>
          <w:rFonts w:eastAsia="Times New Roman"/>
          <w:b/>
          <w:szCs w:val="22"/>
          <w:highlight w:val="green"/>
          <w:u w:val="single"/>
        </w:rPr>
        <w:t>altruism in humans may have a biological basis</w:t>
      </w:r>
      <w:r w:rsidRPr="000B0DFA">
        <w:rPr>
          <w:rFonts w:eastAsia="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b/>
          <w:szCs w:val="22"/>
          <w:highlight w:val="green"/>
          <w:u w:val="single"/>
        </w:rPr>
        <w:t>In ultimatum games</w:t>
      </w:r>
      <w:r w:rsidRPr="000B0DFA">
        <w:rPr>
          <w:rFonts w:eastAsia="Times New Roman"/>
          <w:sz w:val="16"/>
          <w:szCs w:val="16"/>
        </w:rPr>
        <w:t xml:space="preserve">, there are two players, a proposer and a responder. </w:t>
      </w:r>
      <w:r w:rsidRPr="00035FD3">
        <w:rPr>
          <w:rFonts w:eastAsia="Times New Roman"/>
          <w:b/>
          <w:szCs w:val="22"/>
          <w:highlight w:val="green"/>
          <w:u w:val="single"/>
        </w:rPr>
        <w:t>The proposer can offer any amount</w:t>
      </w:r>
      <w:r w:rsidRPr="002157C0">
        <w:rPr>
          <w:rFonts w:eastAsia="Times New Roman"/>
          <w:b/>
          <w:szCs w:val="26"/>
        </w:rPr>
        <w:t xml:space="preserve"> </w:t>
      </w:r>
      <w:r w:rsidRPr="000B0DFA">
        <w:rPr>
          <w:rFonts w:eastAsia="Times New Roman"/>
          <w:sz w:val="16"/>
          <w:szCs w:val="16"/>
        </w:rPr>
        <w:t>of a given stake to the responder. If the amount is accepted, both players receive the amount proposed. If the amount is rejected, neither player receives anything. In the dictator game, the protocol is similar except that responders must accept whatever amount the proposer offers.</w:t>
      </w:r>
      <w:r w:rsidRPr="002157C0">
        <w:rPr>
          <w:rFonts w:eastAsia="Times New Roman"/>
          <w:b/>
          <w:szCs w:val="26"/>
        </w:rPr>
        <w:t xml:space="preserve"> </w:t>
      </w:r>
      <w:r w:rsidRPr="00035FD3">
        <w:rPr>
          <w:rFonts w:eastAsia="Times New Roman"/>
          <w:b/>
          <w:szCs w:val="22"/>
          <w:highlight w:val="green"/>
          <w:u w:val="single"/>
        </w:rPr>
        <w:t>The literature on these games reports consistent findings across samples</w:t>
      </w:r>
      <w:r w:rsidRPr="00552AFF">
        <w:rPr>
          <w:rFonts w:eastAsia="Times New Roman"/>
          <w:b/>
          <w:szCs w:val="22"/>
          <w:u w:val="single"/>
        </w:rPr>
        <w:t xml:space="preserve"> from western cultures</w:t>
      </w:r>
      <w:r w:rsidRPr="002157C0">
        <w:rPr>
          <w:rFonts w:eastAsia="Times New Roman"/>
          <w:b/>
          <w:szCs w:val="26"/>
        </w:rPr>
        <w:t xml:space="preserve"> </w:t>
      </w:r>
      <w:r w:rsidRPr="000B0DFA">
        <w:rPr>
          <w:rFonts w:eastAsia="Times New Roman"/>
          <w:sz w:val="16"/>
          <w:szCs w:val="16"/>
        </w:rPr>
        <w:t>(Camerer,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still keep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b/>
          <w:szCs w:val="26"/>
        </w:rPr>
        <w:t xml:space="preserve"> </w:t>
      </w:r>
      <w:r w:rsidRPr="00035FD3">
        <w:rPr>
          <w:rFonts w:eastAsia="Times New Roman"/>
          <w:b/>
          <w:szCs w:val="22"/>
          <w:highlight w:val="green"/>
          <w:u w:val="single"/>
        </w:rPr>
        <w:t>participants offer more than is necessary and reject offers perceived to be unfair.</w:t>
      </w:r>
      <w:r w:rsidRPr="00552AFF">
        <w:rPr>
          <w:rFonts w:eastAsia="Times New Roman"/>
          <w:b/>
          <w:szCs w:val="22"/>
          <w:u w:val="single"/>
        </w:rPr>
        <w:t xml:space="preserve"> </w:t>
      </w:r>
      <w:r w:rsidRPr="00035FD3">
        <w:rPr>
          <w:rFonts w:eastAsia="Times New Roman"/>
          <w:b/>
          <w:szCs w:val="22"/>
          <w:highlight w:val="green"/>
          <w:u w:val="single"/>
        </w:rPr>
        <w:t>These</w:t>
      </w:r>
      <w:r w:rsidRPr="002157C0">
        <w:rPr>
          <w:rFonts w:eastAsia="Times New Roman"/>
          <w:b/>
          <w:szCs w:val="26"/>
        </w:rPr>
        <w:t xml:space="preserve"> </w:t>
      </w:r>
      <w:r w:rsidRPr="000B0DFA">
        <w:rPr>
          <w:rFonts w:eastAsia="Times New Roman"/>
          <w:sz w:val="16"/>
          <w:szCs w:val="16"/>
        </w:rPr>
        <w:t xml:space="preserve">choices </w:t>
      </w:r>
      <w:r w:rsidRPr="00035FD3">
        <w:rPr>
          <w:rFonts w:eastAsia="Times New Roman"/>
          <w:b/>
          <w:szCs w:val="22"/>
          <w:highlight w:val="green"/>
          <w:u w:val="single"/>
        </w:rPr>
        <w:t>indicate preferences for</w:t>
      </w:r>
      <w:r w:rsidRPr="00552AFF">
        <w:rPr>
          <w:rFonts w:eastAsia="Times New Roman"/>
          <w:b/>
          <w:szCs w:val="22"/>
          <w:u w:val="single"/>
        </w:rPr>
        <w:t xml:space="preserve"> fairness and </w:t>
      </w:r>
      <w:r w:rsidRPr="00035FD3">
        <w:rPr>
          <w:rFonts w:eastAsia="Times New Roman"/>
          <w:b/>
          <w:szCs w:val="22"/>
          <w:highlight w:val="green"/>
          <w:u w:val="single"/>
        </w:rPr>
        <w:t>altruism</w:t>
      </w:r>
      <w:r w:rsidRPr="002157C0">
        <w:rPr>
          <w:rFonts w:eastAsia="Times New Roman"/>
          <w:b/>
          <w:szCs w:val="26"/>
        </w:rPr>
        <w:t xml:space="preserve"> </w:t>
      </w:r>
      <w:r w:rsidRPr="000B0DFA">
        <w:rPr>
          <w:rFonts w:eastAsia="Times New Roman"/>
          <w:sz w:val="16"/>
          <w:szCs w:val="16"/>
        </w:rPr>
        <w:t xml:space="preserve">as well as an understanding of the importance of reciprocity. </w:t>
      </w:r>
      <w:r w:rsidRPr="00552AFF">
        <w:rPr>
          <w:rFonts w:eastAsia="Times New Roman"/>
          <w:b/>
          <w:szCs w:val="22"/>
          <w:u w:val="single"/>
        </w:rPr>
        <w:t>Failure to meet</w:t>
      </w:r>
      <w:r w:rsidRPr="002157C0">
        <w:rPr>
          <w:rFonts w:eastAsia="Times New Roman"/>
          <w:b/>
          <w:szCs w:val="26"/>
        </w:rPr>
        <w:t xml:space="preserve"> </w:t>
      </w:r>
      <w:r w:rsidRPr="000B0DFA">
        <w:rPr>
          <w:rFonts w:eastAsia="Times New Roman"/>
          <w:sz w:val="16"/>
          <w:szCs w:val="16"/>
        </w:rPr>
        <w:t xml:space="preserve">social </w:t>
      </w:r>
      <w:r w:rsidRPr="00552AFF">
        <w:rPr>
          <w:rFonts w:eastAsia="Times New Roman"/>
          <w:b/>
          <w:szCs w:val="22"/>
          <w:u w:val="single"/>
        </w:rPr>
        <w:t>expectations</w:t>
      </w:r>
      <w:r w:rsidRPr="002157C0">
        <w:rPr>
          <w:rFonts w:eastAsia="Times New Roman"/>
          <w:b/>
          <w:szCs w:val="26"/>
        </w:rPr>
        <w:t xml:space="preserve"> </w:t>
      </w:r>
      <w:r w:rsidRPr="000B0DFA">
        <w:rPr>
          <w:rFonts w:eastAsia="Times New Roman"/>
          <w:sz w:val="16"/>
          <w:szCs w:val="16"/>
        </w:rPr>
        <w:t>regarding reciprocity and fairness have been shown to</w:t>
      </w:r>
      <w:r w:rsidRPr="002157C0">
        <w:rPr>
          <w:rFonts w:eastAsia="Times New Roman"/>
          <w:b/>
          <w:szCs w:val="26"/>
        </w:rPr>
        <w:t xml:space="preserve"> </w:t>
      </w:r>
      <w:r w:rsidRPr="00552AFF">
        <w:rPr>
          <w:rFonts w:eastAsia="Times New Roman"/>
          <w:b/>
          <w:szCs w:val="22"/>
          <w:u w:val="single"/>
        </w:rPr>
        <w:t>elicit strong negative emotions</w:t>
      </w:r>
      <w:r w:rsidRPr="002157C0">
        <w:rPr>
          <w:rFonts w:eastAsia="Times New Roman"/>
          <w:b/>
          <w:szCs w:val="26"/>
        </w:rPr>
        <w:t xml:space="preserve"> </w:t>
      </w:r>
      <w:r w:rsidRPr="000B0DFA">
        <w:rPr>
          <w:rFonts w:eastAsia="Times New Roman"/>
          <w:sz w:val="16"/>
          <w:szCs w:val="16"/>
        </w:rPr>
        <w:t>and punishment in exchange partners (Fehr &amp; Gachter, 2002; de Quervain et al., 2004).</w:t>
      </w:r>
    </w:p>
    <w:p w14:paraId="366DFE0E" w14:textId="77777777" w:rsidR="00387E7F" w:rsidRDefault="00387E7F" w:rsidP="00387E7F">
      <w:pPr>
        <w:pStyle w:val="Heading4"/>
        <w:spacing w:line="276" w:lineRule="auto"/>
      </w:pPr>
      <w:r>
        <w:t>That affirms – An intrinsic characteristic behind discussions of waivers is altruism – it’s the intention.</w:t>
      </w:r>
    </w:p>
    <w:p w14:paraId="34B8230C" w14:textId="77777777" w:rsidR="00387E7F" w:rsidRPr="00CB7711" w:rsidRDefault="00387E7F" w:rsidP="00387E7F">
      <w:r w:rsidRPr="00CB7711">
        <w:rPr>
          <w:rStyle w:val="Style13ptBold"/>
        </w:rPr>
        <w:t>Melimopoulos 21</w:t>
      </w:r>
      <w:r w:rsidRPr="00CB7711">
        <w:rPr>
          <w:sz w:val="16"/>
          <w:szCs w:val="16"/>
        </w:rPr>
        <w:t>, E. (2021, June 29). Explainer: What are patent waivers for COVID vaccines? Breaking News, World News and Video from Al Jazeera. </w:t>
      </w:r>
      <w:hyperlink r:id="rId11" w:history="1">
        <w:r w:rsidRPr="00942593">
          <w:rPr>
            <w:rStyle w:val="Hyperlink"/>
            <w:sz w:val="16"/>
            <w:szCs w:val="16"/>
          </w:rPr>
          <w:t>https://www.aljazeera.com/news/2021/6/29/explainer-what-are-covid-vaccine-patent-waivers</w:t>
        </w:r>
      </w:hyperlink>
      <w:r>
        <w:rPr>
          <w:sz w:val="16"/>
          <w:szCs w:val="16"/>
        </w:rPr>
        <w:t xml:space="preserve"> //Massa</w:t>
      </w:r>
    </w:p>
    <w:p w14:paraId="17255389" w14:textId="77777777" w:rsidR="00387E7F" w:rsidRDefault="00387E7F" w:rsidP="00387E7F">
      <w:pPr>
        <w:spacing w:line="276" w:lineRule="auto"/>
        <w:rPr>
          <w:sz w:val="16"/>
          <w:szCs w:val="16"/>
        </w:rPr>
      </w:pPr>
      <w:r w:rsidRPr="00CB7711">
        <w:rPr>
          <w:sz w:val="16"/>
          <w:szCs w:val="16"/>
        </w:rPr>
        <w:t xml:space="preserve">Since the United States last month threw its support behind temporarily suspending intellectual property protections for COVID-19 vaccines, the movement to boost the supply and production of shots has gathered momentum. 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r>
        <w:rPr>
          <w:sz w:val="16"/>
        </w:rPr>
        <w:t xml:space="preserve"> </w:t>
      </w:r>
      <w:r w:rsidRPr="00035FD3">
        <w:rPr>
          <w:b/>
          <w:bCs/>
          <w:highlight w:val="green"/>
          <w:u w:val="single"/>
        </w:rPr>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r>
        <w:rPr>
          <w:sz w:val="16"/>
        </w:rPr>
        <w:t xml:space="preserve"> </w:t>
      </w: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r>
        <w:rPr>
          <w:sz w:val="16"/>
        </w:rPr>
        <w:t xml:space="preserve"> </w:t>
      </w: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r>
        <w:rPr>
          <w:sz w:val="16"/>
          <w:szCs w:val="16"/>
        </w:rPr>
        <w:t xml:space="preserve"> </w:t>
      </w:r>
      <w:r w:rsidRPr="00552AFF">
        <w:rPr>
          <w:sz w:val="16"/>
          <w:szCs w:val="16"/>
        </w:rPr>
        <w:t>More than 3 billion COVID-19 vaccine doses have been administered worldwide according to</w:t>
      </w:r>
      <w:r>
        <w:rPr>
          <w:sz w:val="16"/>
          <w:szCs w:val="16"/>
        </w:rPr>
        <w:t xml:space="preserve"> </w:t>
      </w:r>
      <w:hyperlink r:id="rId12" w:tgtFrame="_blank" w:history="1">
        <w:r w:rsidRPr="00552AFF">
          <w:rPr>
            <w:rStyle w:val="Hyperlink"/>
            <w:sz w:val="16"/>
            <w:szCs w:val="16"/>
          </w:rPr>
          <w:t>Our World in Data</w:t>
        </w:r>
      </w:hyperlink>
      <w:r w:rsidRPr="00552AFF">
        <w:rPr>
          <w:sz w:val="16"/>
          <w:szCs w:val="16"/>
        </w:rPr>
        <w:t>. But the vast majority of the doses have been administered in wealthier nations. Less than two percent of doses have been given in Africa.</w:t>
      </w:r>
      <w:r>
        <w:rPr>
          <w:sz w:val="16"/>
          <w:szCs w:val="16"/>
        </w:rPr>
        <w:t xml:space="preserve"> </w:t>
      </w:r>
      <w:r w:rsidRPr="00552AFF">
        <w:rPr>
          <w:sz w:val="16"/>
          <w:szCs w:val="16"/>
        </w:rPr>
        <w:t>“It’s such a chaotic situation,” Yuanqiong Hu, legal adviser for the Access Campaign for Doctors Without Borders said.</w:t>
      </w:r>
      <w:r>
        <w:rPr>
          <w:sz w:val="16"/>
          <w:szCs w:val="16"/>
        </w:rPr>
        <w:t xml:space="preserve"> </w:t>
      </w:r>
      <w:r w:rsidRPr="00552AFF">
        <w:rPr>
          <w:sz w:val="16"/>
          <w:szCs w:val="16"/>
        </w:rPr>
        <w:t>“We see huge inequity globally. There’s a high level of concentration on who owns the technology and who produces it,” she added.</w:t>
      </w:r>
      <w:r>
        <w:rPr>
          <w:sz w:val="16"/>
          <w:szCs w:val="16"/>
        </w:rPr>
        <w:t xml:space="preserve"> </w:t>
      </w:r>
      <w:r w:rsidRPr="00552AFF">
        <w:rPr>
          <w:sz w:val="16"/>
          <w:szCs w:val="16"/>
        </w:rPr>
        <w:t>With negotiations over waivers set to resume at an informal WTO meeting on Wednesday, we take a look at the intensifying debate around waivers.</w:t>
      </w:r>
    </w:p>
    <w:p w14:paraId="0E026FE3" w14:textId="77777777" w:rsidR="00387E7F" w:rsidRDefault="00387E7F" w:rsidP="00387E7F">
      <w:pPr>
        <w:pStyle w:val="Heading4"/>
        <w:spacing w:line="276" w:lineRule="auto"/>
      </w:pPr>
      <w:r>
        <w:t>Intuitions flow innovation – medical tech can’t be privately owned. Agents recreating, redistributing, and remodeling is an intuitive transferal of ownership – brain studies prove.</w:t>
      </w:r>
    </w:p>
    <w:p w14:paraId="0E8B0506" w14:textId="77777777" w:rsidR="00387E7F" w:rsidRPr="00E70780" w:rsidRDefault="00387E7F" w:rsidP="00387E7F">
      <w:r w:rsidRPr="00E70780">
        <w:rPr>
          <w:rStyle w:val="Style13ptBold"/>
        </w:rPr>
        <w:t>APS 10</w:t>
      </w:r>
      <w:r w:rsidRPr="00E70780">
        <w:rPr>
          <w:sz w:val="16"/>
          <w:szCs w:val="16"/>
        </w:rPr>
        <w:t>. (2010, August 17). An intuitive sense of property. Association for Psychological Science - APS. </w:t>
      </w:r>
      <w:hyperlink r:id="rId13" w:history="1">
        <w:r w:rsidRPr="00E70780">
          <w:rPr>
            <w:rStyle w:val="Hyperlink"/>
            <w:sz w:val="16"/>
            <w:szCs w:val="16"/>
          </w:rPr>
          <w:t>https://www.psychologicalscience.org/news/were-only-human/an-intuitive-sense-of-property.html</w:t>
        </w:r>
      </w:hyperlink>
      <w:r w:rsidRPr="00E70780">
        <w:rPr>
          <w:sz w:val="16"/>
          <w:szCs w:val="16"/>
        </w:rPr>
        <w:t xml:space="preserve"> //Massa</w:t>
      </w:r>
    </w:p>
    <w:p w14:paraId="064C7B71" w14:textId="77777777" w:rsidR="00387E7F" w:rsidRDefault="00387E7F" w:rsidP="00387E7F">
      <w:pPr>
        <w:spacing w:line="276" w:lineRule="auto"/>
        <w:rPr>
          <w:b/>
          <w:bCs/>
          <w:u w:val="single"/>
        </w:rPr>
      </w:pPr>
      <w:r w:rsidRPr="00552AFF">
        <w:rPr>
          <w:sz w:val="16"/>
          <w:szCs w:val="16"/>
        </w:rPr>
        <w:t>Americans like to own their homes, and the rules and conventions for ownership are generally well understood. So it’s easy to forget that in many corners of the globe the rules are more ambiguous–and more open to challenge. Indeed, there are an estimated one billion squatters in the world today–people who, mostly out of necessity, are living on property they do not own and cannot afford.</w:t>
      </w:r>
      <w:r>
        <w:rPr>
          <w:sz w:val="16"/>
          <w:szCs w:val="16"/>
        </w:rPr>
        <w:t xml:space="preserve"> </w:t>
      </w: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r>
        <w:rPr>
          <w:sz w:val="16"/>
          <w:szCs w:val="16"/>
        </w:rPr>
        <w:t xml:space="preserve"> </w:t>
      </w: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Kanngiesser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position–as long as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r>
        <w:rPr>
          <w:b/>
          <w:bCs/>
          <w:u w:val="single"/>
        </w:rPr>
        <w:t xml:space="preserve"> </w:t>
      </w:r>
      <w:r w:rsidRPr="00552AFF">
        <w:rPr>
          <w:sz w:val="16"/>
        </w:rPr>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r>
        <w:rPr>
          <w:sz w:val="16"/>
        </w:rPr>
        <w:t xml:space="preserve"> </w:t>
      </w:r>
      <w:r w:rsidRPr="00552AFF">
        <w:rPr>
          <w:sz w:val="16"/>
        </w:rPr>
        <w:t>And they did, in some interesting ways.</w:t>
      </w:r>
      <w:hyperlink r:id="rId14" w:tgtFrame="_blank" w:history="1">
        <w:r>
          <w:rPr>
            <w:rStyle w:val="Hyperlink"/>
            <w:b/>
            <w:bCs/>
            <w:u w:val="single"/>
          </w:rPr>
          <w:t xml:space="preserve"> </w:t>
        </w:r>
        <w:r w:rsidRPr="00552AFF">
          <w:rPr>
            <w:rStyle w:val="Hyperlink"/>
            <w:b/>
            <w:bCs/>
            <w:u w:val="single"/>
          </w:rPr>
          <w:t>As reported on-line this week in the journal</w:t>
        </w:r>
        <w:r>
          <w:rPr>
            <w:rStyle w:val="Hyperlink"/>
            <w:b/>
            <w:bCs/>
            <w:u w:val="single"/>
          </w:rPr>
          <w:t xml:space="preserve"> </w:t>
        </w:r>
        <w:r w:rsidRPr="00552AFF">
          <w:rPr>
            <w:rStyle w:val="Hyperlink"/>
            <w:b/>
            <w:bCs/>
            <w:u w:val="single"/>
          </w:rPr>
          <w:t>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D6342F">
        <w:rPr>
          <w:b/>
          <w:bCs/>
          <w:u w:val="single"/>
        </w:rPr>
        <w:t>if that person showed some industry in changing the property.</w:t>
      </w:r>
      <w:r w:rsidRPr="00D6342F">
        <w:rPr>
          <w:sz w:val="16"/>
        </w:rPr>
        <w:t xml:space="preserve"> And the more work, the greater the entitlement: That is, transforming the animal into a new animal was more significant than just snipping off some clay, which was more significant than merely holding the animal. </w:t>
      </w:r>
      <w:r w:rsidRPr="00D6342F">
        <w:rPr>
          <w:b/>
          <w:bCs/>
          <w:u w:val="single"/>
        </w:rPr>
        <w:t>Even if they transformed a duck into a different kind of duck, that was sufficient for entitlement, though changing a duck into an elephant conveyed somewhat more in the way of ownership rights.</w:t>
      </w:r>
      <w:r w:rsidRPr="00D6342F">
        <w:rPr>
          <w:sz w:val="16"/>
        </w:rPr>
        <w:t xml:space="preserve"> In other words, it was work that mattered most; creativity was important but secondary. But here’s the really interesting part: </w:t>
      </w:r>
      <w:r w:rsidRPr="00D6342F">
        <w:rPr>
          <w:b/>
          <w:bCs/>
          <w:u w:val="single"/>
        </w:rPr>
        <w:t>These views of ownership</w:t>
      </w:r>
      <w:r w:rsidRPr="00D6342F">
        <w:rPr>
          <w:sz w:val="16"/>
        </w:rPr>
        <w:t xml:space="preserve"> and labor </w:t>
      </w:r>
      <w:r w:rsidRPr="00D6342F">
        <w:rPr>
          <w:b/>
          <w:bCs/>
          <w:u w:val="single"/>
        </w:rPr>
        <w:t>were much more common in the preschool children than in the adults.</w:t>
      </w:r>
      <w:r w:rsidRPr="00D6342F">
        <w:rPr>
          <w:sz w:val="16"/>
        </w:rPr>
        <w:t xml:space="preserve"> Adults were much more likely to give priority to the original owner–and much less likely to value labor and creativity. In that sense, </w:t>
      </w:r>
      <w:r w:rsidRPr="00D6342F">
        <w:rPr>
          <w:b/>
          <w:bCs/>
          <w:u w:val="single"/>
        </w:rPr>
        <w:t>adults appear to have outgrown their intuitive belief</w:t>
      </w:r>
      <w:r w:rsidRPr="00D6342F">
        <w:rPr>
          <w:sz w:val="16"/>
        </w:rPr>
        <w:t xml:space="preserve"> in squatters’ rights, replacing this sensibility </w:t>
      </w:r>
      <w:r w:rsidRPr="00D6342F">
        <w:rPr>
          <w:b/>
          <w:bCs/>
          <w:u w:val="single"/>
        </w:rPr>
        <w:t>with formal laws and regulations.</w:t>
      </w:r>
    </w:p>
    <w:p w14:paraId="3F2863BC" w14:textId="77777777" w:rsidR="00387E7F" w:rsidRDefault="00387E7F" w:rsidP="00387E7F"/>
    <w:p w14:paraId="0B86FA4B" w14:textId="77777777" w:rsidR="00387E7F" w:rsidRDefault="00387E7F" w:rsidP="00387E7F">
      <w:pPr>
        <w:pStyle w:val="Heading1"/>
      </w:pPr>
      <w:r>
        <w:t>Accessibility</w:t>
      </w:r>
    </w:p>
    <w:p w14:paraId="543CBE4D" w14:textId="77777777" w:rsidR="00387E7F" w:rsidRDefault="00387E7F" w:rsidP="00387E7F">
      <w:pPr>
        <w:pStyle w:val="Heading4"/>
      </w:pPr>
      <w:r>
        <w:t xml:space="preserve">Therefore, the meta-ethic is </w:t>
      </w:r>
      <w:r w:rsidRPr="000043D5">
        <w:t>moral non-naturalism</w:t>
      </w:r>
      <w:r>
        <w:t xml:space="preserve">. </w:t>
      </w:r>
    </w:p>
    <w:p w14:paraId="395D6C83" w14:textId="77777777" w:rsidR="00387E7F" w:rsidRDefault="00387E7F" w:rsidP="00387E7F">
      <w:pPr>
        <w:rPr>
          <w:rFonts w:cs="Calibri"/>
          <w:sz w:val="20"/>
          <w:szCs w:val="20"/>
        </w:rPr>
      </w:pPr>
      <w:r w:rsidRPr="008962E3">
        <w:rPr>
          <w:rStyle w:val="Style13ptBold"/>
        </w:rPr>
        <w:t>Hume 72</w:t>
      </w:r>
    </w:p>
    <w:p w14:paraId="50189D94" w14:textId="77777777" w:rsidR="00387E7F" w:rsidRDefault="00387E7F" w:rsidP="00387E7F">
      <w:r w:rsidRPr="002718B2">
        <w:t>the course of nature may change, and</w:t>
      </w:r>
      <w:r>
        <w:t xml:space="preserve"> </w:t>
      </w:r>
      <w:r w:rsidRPr="002718B2">
        <w:t>an object</w:t>
      </w:r>
      <w:r>
        <w:t xml:space="preserve"> </w:t>
      </w:r>
      <w:r w:rsidRPr="002718B2">
        <w:t>may be attended with different</w:t>
      </w:r>
      <w:r>
        <w:t xml:space="preserve"> </w:t>
      </w:r>
      <w:r w:rsidRPr="002718B2">
        <w:t>effects</w:t>
      </w:r>
      <w:r>
        <w:t xml:space="preserve"> </w:t>
      </w:r>
      <w:r w:rsidRPr="002718B2">
        <w:t>arguments [that trust in</w:t>
      </w:r>
      <w:r>
        <w:t xml:space="preserve"> </w:t>
      </w:r>
      <w:r w:rsidRPr="002718B2">
        <w:t>experience</w:t>
      </w:r>
      <w:r>
        <w:t xml:space="preserve"> </w:t>
      </w:r>
      <w:r w:rsidRPr="002718B2">
        <w:t>are founded on the [assumption that]</w:t>
      </w:r>
      <w:r>
        <w:t xml:space="preserve"> </w:t>
      </w:r>
      <w:r w:rsidRPr="002718B2">
        <w:t>the future will be conformable to the past</w:t>
      </w:r>
      <w:r>
        <w:t xml:space="preserve"> </w:t>
      </w:r>
      <w:r w:rsidRPr="002718B2">
        <w:t>the proof of this last supposition by probable arguments</w:t>
      </w:r>
      <w:r>
        <w:t xml:space="preserve"> </w:t>
      </w:r>
      <w:r w:rsidRPr="002718B2">
        <w:t>must be</w:t>
      </w:r>
      <w:r>
        <w:t xml:space="preserve"> </w:t>
      </w:r>
      <w:r w:rsidRPr="002718B2">
        <w:t>going in a circle</w:t>
      </w:r>
    </w:p>
    <w:p w14:paraId="5B621540" w14:textId="77777777" w:rsidR="00387E7F" w:rsidRDefault="00387E7F" w:rsidP="00387E7F"/>
    <w:p w14:paraId="5CD613F6" w14:textId="77777777" w:rsidR="00387E7F" w:rsidRDefault="00387E7F" w:rsidP="00387E7F">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1BC8AACC" w14:textId="77777777" w:rsidR="00387E7F" w:rsidRDefault="00387E7F" w:rsidP="00387E7F">
      <w:r w:rsidRPr="001C13E7">
        <w:rPr>
          <w:rStyle w:val="Style13ptBold"/>
        </w:rPr>
        <w:t>McHugh</w:t>
      </w:r>
    </w:p>
    <w:p w14:paraId="7C4D1332" w14:textId="77777777" w:rsidR="00387E7F" w:rsidRDefault="00387E7F" w:rsidP="00387E7F">
      <w:r>
        <w:t>“goodness” is similar to the notion of “yellowness,” and is not capable of being explained we recognize yellowness when we see it. But it cannot be defined.</w:t>
      </w:r>
    </w:p>
    <w:p w14:paraId="33E6631F" w14:textId="77777777" w:rsidR="00387E7F" w:rsidRDefault="00387E7F" w:rsidP="00387E7F"/>
    <w:p w14:paraId="28755CC7" w14:textId="77777777" w:rsidR="00387E7F" w:rsidRPr="00DB378E" w:rsidRDefault="00387E7F" w:rsidP="00387E7F">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397500D4" w14:textId="77777777" w:rsidR="00387E7F" w:rsidRDefault="00387E7F" w:rsidP="00387E7F">
      <w:r w:rsidRPr="008962E3">
        <w:rPr>
          <w:rStyle w:val="Style13ptBold"/>
        </w:rPr>
        <w:t>McMahan</w:t>
      </w:r>
    </w:p>
    <w:p w14:paraId="58ADAA3E" w14:textId="77777777" w:rsidR="00387E7F" w:rsidRDefault="00387E7F" w:rsidP="00387E7F">
      <w:r w:rsidRPr="002718B2">
        <w:t>a intuition is a judgment that is not the result of inferential reasoning If I consider torturing the cat, I judge immediately that this would be wrong. I do not need to consult my other beliefs to arrive at this judgment</w:t>
      </w:r>
    </w:p>
    <w:p w14:paraId="1968F593" w14:textId="77777777" w:rsidR="00387E7F" w:rsidRDefault="00387E7F" w:rsidP="00387E7F"/>
    <w:p w14:paraId="6AA1D534" w14:textId="77777777" w:rsidR="00387E7F" w:rsidRDefault="00387E7F" w:rsidP="00387E7F">
      <w:pPr>
        <w:pStyle w:val="Heading4"/>
      </w:pPr>
      <w:r>
        <w:t xml:space="preserve">I affirm Resolved: </w:t>
      </w:r>
      <w:r w:rsidRPr="00C90568">
        <w:t>The member nations of the World Trade Organization ought to reduce intellectual property protections for medicines.</w:t>
      </w:r>
    </w:p>
    <w:p w14:paraId="5D7D0CB2" w14:textId="77777777" w:rsidR="00387E7F" w:rsidRDefault="00387E7F" w:rsidP="00387E7F">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215CFC95" w14:textId="77777777" w:rsidR="00387E7F" w:rsidRDefault="00387E7F" w:rsidP="00387E7F">
      <w:r w:rsidRPr="00CB7711">
        <w:rPr>
          <w:rStyle w:val="Style13ptBold"/>
        </w:rPr>
        <w:t>Lucas 08</w:t>
      </w:r>
    </w:p>
    <w:p w14:paraId="07529389" w14:textId="77777777" w:rsidR="00387E7F" w:rsidRDefault="00387E7F" w:rsidP="00387E7F">
      <w:r>
        <w:t>intuitive ability to engage reciprocal transactions suggesting that altruism in humans may have a biological basis In ultimatum games The proposer can offer any amount The literature on these games reports consistent findings across samples participants offer more than is necessary and reject offers perceived to be unfair. These indicate preferences for altruism</w:t>
      </w:r>
    </w:p>
    <w:p w14:paraId="05F2931D" w14:textId="77777777" w:rsidR="00387E7F" w:rsidRDefault="00387E7F" w:rsidP="00387E7F"/>
    <w:p w14:paraId="460276AF" w14:textId="77777777" w:rsidR="00387E7F" w:rsidRDefault="00387E7F" w:rsidP="00387E7F">
      <w:pPr>
        <w:pStyle w:val="Heading4"/>
        <w:spacing w:line="276" w:lineRule="auto"/>
      </w:pPr>
      <w:r>
        <w:t>That affirms – An intrinsic characteristic behind discussions of waivers is altruism – it’s the intention.</w:t>
      </w:r>
    </w:p>
    <w:p w14:paraId="678FE56C" w14:textId="77777777" w:rsidR="00387E7F" w:rsidRDefault="00387E7F" w:rsidP="00387E7F">
      <w:r w:rsidRPr="00CB7711">
        <w:rPr>
          <w:rStyle w:val="Style13ptBold"/>
        </w:rPr>
        <w:t>Melimopoulos 21</w:t>
      </w:r>
    </w:p>
    <w:p w14:paraId="166155E0" w14:textId="77777777" w:rsidR="00387E7F" w:rsidRDefault="00387E7F" w:rsidP="00387E7F">
      <w:r>
        <w:t>United Nations warned vaccine inequality between nations allowed COVID spreading and increased variants World leaders adopted different approaches Last October (WTO) to temporarily suspend rules on intellectual property rights for vaccines would allow more countries to manufacture doses</w:t>
      </w:r>
    </w:p>
    <w:p w14:paraId="2F282C98" w14:textId="77777777" w:rsidR="00387E7F" w:rsidRDefault="00387E7F" w:rsidP="00387E7F"/>
    <w:p w14:paraId="3343A23B" w14:textId="77777777" w:rsidR="00387E7F" w:rsidRDefault="00387E7F" w:rsidP="00387E7F">
      <w:pPr>
        <w:pStyle w:val="Heading4"/>
        <w:spacing w:line="276" w:lineRule="auto"/>
      </w:pPr>
      <w:r>
        <w:t>Intuitions flow innovation – medical tech can’t be privately owned. Agents recreating, redistributing, and remodeling is an intuitive transferal of ownership – brain studies prove.</w:t>
      </w:r>
    </w:p>
    <w:p w14:paraId="44B37133" w14:textId="77777777" w:rsidR="00387E7F" w:rsidRDefault="00387E7F" w:rsidP="00387E7F">
      <w:r w:rsidRPr="00E70780">
        <w:rPr>
          <w:rStyle w:val="Style13ptBold"/>
        </w:rPr>
        <w:t>APS 10</w:t>
      </w:r>
    </w:p>
    <w:p w14:paraId="330A7B1C" w14:textId="77777777" w:rsidR="00387E7F" w:rsidRPr="00D550C8" w:rsidRDefault="00387E7F" w:rsidP="00387E7F">
      <w:r>
        <w:t>research suggests moral judgments about property may be intuitive more fundamental than laws Psychological scientist at University of Bristol studied children to see how children think about private property before they influence rules scientists wanted to see if improving property trumps ownership they used property that children might “own” all of the subjects were more likely to transfer ownership of the property</w:t>
      </w:r>
    </w:p>
    <w:p w14:paraId="3421A2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7E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E7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024DD"/>
  <w14:defaultImageDpi w14:val="300"/>
  <w15:docId w15:val="{08916445-2FEA-ED48-B10E-F53E1D8DF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7E7F"/>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87E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E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7E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387E7F"/>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87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E7F"/>
  </w:style>
  <w:style w:type="character" w:customStyle="1" w:styleId="Heading1Char">
    <w:name w:val="Heading 1 Char"/>
    <w:aliases w:val="Pocket Char"/>
    <w:basedOn w:val="DefaultParagraphFont"/>
    <w:link w:val="Heading1"/>
    <w:uiPriority w:val="9"/>
    <w:rsid w:val="00387E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87E7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87E7F"/>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87E7F"/>
    <w:rPr>
      <w:rFonts w:ascii="Times New Roman" w:eastAsiaTheme="majorEastAsia" w:hAnsi="Times New Roman" w:cstheme="majorBidi"/>
      <w:b/>
      <w:bCs/>
      <w:sz w:val="30"/>
      <w:szCs w:val="26"/>
    </w:rPr>
  </w:style>
  <w:style w:type="character" w:customStyle="1" w:styleId="Style13ptBold">
    <w:name w:val="Style 13 pt Bold"/>
    <w:aliases w:val="Cite"/>
    <w:basedOn w:val="DefaultParagraphFont"/>
    <w:uiPriority w:val="1"/>
    <w:qFormat/>
    <w:rsid w:val="00387E7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87E7F"/>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87E7F"/>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87E7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87E7F"/>
    <w:rPr>
      <w:color w:val="auto"/>
      <w:u w:val="none"/>
    </w:rPr>
  </w:style>
  <w:style w:type="paragraph" w:styleId="DocumentMap">
    <w:name w:val="Document Map"/>
    <w:basedOn w:val="Normal"/>
    <w:link w:val="DocumentMapChar"/>
    <w:uiPriority w:val="99"/>
    <w:semiHidden/>
    <w:unhideWhenUsed/>
    <w:rsid w:val="00387E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E7F"/>
    <w:rPr>
      <w:rFonts w:ascii="Lucida Grande" w:hAnsi="Lucida Grande" w:cs="Lucida Grande"/>
    </w:rPr>
  </w:style>
  <w:style w:type="paragraph" w:customStyle="1" w:styleId="textbold">
    <w:name w:val="text bold"/>
    <w:basedOn w:val="Normal"/>
    <w:link w:val="Emphasis"/>
    <w:uiPriority w:val="20"/>
    <w:qFormat/>
    <w:rsid w:val="00387E7F"/>
    <w:pPr>
      <w:widowControl w:val="0"/>
      <w:spacing w:after="0" w:line="240" w:lineRule="auto"/>
      <w:ind w:left="720"/>
      <w:jc w:val="both"/>
    </w:pPr>
    <w:rPr>
      <w:b/>
      <w:iCs/>
      <w:sz w:val="30"/>
      <w:u w:val="single"/>
    </w:rPr>
  </w:style>
  <w:style w:type="paragraph" w:styleId="NormalWeb">
    <w:name w:val="Normal (Web)"/>
    <w:basedOn w:val="Normal"/>
    <w:uiPriority w:val="99"/>
    <w:unhideWhenUsed/>
    <w:rsid w:val="00387E7F"/>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ychologicalscience.org/news/were-only-human/an-intuitive-sense-of-proper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urworldindata.org/covid-vaccinati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news/2021/6/29/explainer-what-are-covid-vaccine-patent-waive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philosophy.rutgers.edu/joomlatools-files/docman-files/Moral%20Intuition%202nd%20edition.pdf" TargetMode="External"/><Relationship Id="rId4" Type="http://schemas.openxmlformats.org/officeDocument/2006/relationships/customXml" Target="../customXml/item4.xml"/><Relationship Id="rId9" Type="http://schemas.openxmlformats.org/officeDocument/2006/relationships/hyperlink" Target="http://brothersjuddblog.com/archives/2002/05/an_open_question.html" TargetMode="External"/><Relationship Id="rId14" Type="http://schemas.openxmlformats.org/officeDocument/2006/relationships/hyperlink" Target="http://pss.sagepub.com/content/early/2010/08/09/0956797610380701.abs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2709</Words>
  <Characters>15446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2021-10-15T20:14:00Z</dcterms:created>
  <dcterms:modified xsi:type="dcterms:W3CDTF">2021-10-15T20:15:00Z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