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57EAF" w14:textId="43FF16B3" w:rsidR="00E42E4C" w:rsidRDefault="00EC3E6A" w:rsidP="00EC3E6A">
      <w:pPr>
        <w:pStyle w:val="Heading1"/>
      </w:pPr>
      <w:r>
        <w:t>1AC</w:t>
      </w:r>
    </w:p>
    <w:p w14:paraId="7C7ABA42" w14:textId="77777777" w:rsidR="00EC3E6A" w:rsidRPr="00B02F16" w:rsidRDefault="00EC3E6A" w:rsidP="00EC3E6A">
      <w:pPr>
        <w:pStyle w:val="Heading3"/>
      </w:pPr>
      <w:r>
        <w:t>The Disabled Narrative</w:t>
      </w:r>
    </w:p>
    <w:p w14:paraId="0B4866D2" w14:textId="77777777" w:rsidR="00EC3E6A" w:rsidRPr="009802CC" w:rsidRDefault="00EC3E6A" w:rsidP="00EC3E6A">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739D4F0B" w14:textId="77777777" w:rsidR="00EC3E6A" w:rsidRDefault="00EC3E6A" w:rsidP="00EC3E6A">
      <w:r w:rsidRPr="009802CC">
        <w:rPr>
          <w:rStyle w:val="Style13ptBold"/>
        </w:rPr>
        <w:t>Mollow 15</w:t>
      </w:r>
      <w:r w:rsidRPr="0027629E">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4EE4125" w14:textId="77777777" w:rsidR="00EC3E6A" w:rsidRPr="00BC404C" w:rsidRDefault="00EC3E6A" w:rsidP="00EC3E6A">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074943">
        <w:rPr>
          <w:rStyle w:val="Emphasis"/>
          <w:highlight w:val="green"/>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w:t>
      </w:r>
      <w:r w:rsidRPr="00515BB0">
        <w:rPr>
          <w:rStyle w:val="Emphasis"/>
          <w:highlight w:val="green"/>
        </w:rPr>
        <w:t>properly belong</w:t>
      </w:r>
      <w:r w:rsidRPr="00074943">
        <w:rPr>
          <w:rStyle w:val="Emphasis"/>
          <w:highlight w:val="green"/>
        </w:rPr>
        <w:t xml:space="preserve">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074943">
        <w:rPr>
          <w:rStyle w:val="Emphasis"/>
          <w:highlight w:val="green"/>
        </w:rPr>
        <w:t>that is provoked by the</w:t>
      </w:r>
      <w:r w:rsidRPr="0093432D">
        <w:rPr>
          <w:rStyle w:val="StyleUnderline"/>
        </w:rPr>
        <w:t xml:space="preserve"> image of a </w:t>
      </w:r>
      <w:r w:rsidRPr="00074943">
        <w:rPr>
          <w:rStyle w:val="Emphasis"/>
          <w:highlight w:val="green"/>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074943">
        <w:rPr>
          <w:rStyle w:val="Emphasis"/>
          <w:highlight w:val="green"/>
        </w:rPr>
        <w:t>This affective response can feel unbeara</w:t>
      </w:r>
      <w:r w:rsidRPr="0093432D">
        <w:rPr>
          <w:rStyle w:val="Emphasis"/>
          <w:highlight w:val="green"/>
        </w:rPr>
        <w:t>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074943">
        <w:rPr>
          <w:rStyle w:val="Emphasis"/>
          <w:highlight w:val="green"/>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074943">
        <w:rPr>
          <w:rStyle w:val="Emphasis"/>
          <w:highlight w:val="green"/>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734614DC" w14:textId="77777777" w:rsidR="00EC3E6A" w:rsidRPr="0004302C" w:rsidRDefault="00EC3E6A" w:rsidP="00EC3E6A">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629B35D4" w14:textId="77777777" w:rsidR="00EC3E6A" w:rsidRPr="009802CC" w:rsidRDefault="00EC3E6A" w:rsidP="00EC3E6A">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76CF43B" w14:textId="77777777" w:rsidR="00EC3E6A" w:rsidRPr="002E3A75" w:rsidRDefault="00EC3E6A" w:rsidP="00EC3E6A">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29E2830E" w14:textId="77777777" w:rsidR="00EC3E6A" w:rsidRPr="00CF49AE" w:rsidRDefault="00EC3E6A" w:rsidP="00EC3E6A">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71CA813B" w14:textId="77777777" w:rsidR="00EC3E6A" w:rsidRPr="009802CC" w:rsidRDefault="00EC3E6A" w:rsidP="00EC3E6A">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00CCA9C7" w14:textId="77777777" w:rsidR="00EC3E6A" w:rsidRPr="009802CC" w:rsidRDefault="00EC3E6A" w:rsidP="00EC3E6A">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4699D5CA" w14:textId="77777777" w:rsidR="00EC3E6A" w:rsidRDefault="00EC3E6A" w:rsidP="00EC3E6A">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w:t>
      </w:r>
    </w:p>
    <w:p w14:paraId="16AB7D74" w14:textId="77777777" w:rsidR="00EC3E6A" w:rsidRPr="009802CC" w:rsidRDefault="00EC3E6A" w:rsidP="00EC3E6A">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 WHSRS and Lex VM]</w:t>
      </w:r>
      <w:r w:rsidRPr="009802CC">
        <w:rPr>
          <w:color w:val="000000" w:themeColor="text1"/>
        </w:rPr>
        <w:t xml:space="preserve"> </w:t>
      </w:r>
    </w:p>
    <w:p w14:paraId="4BF88CA1" w14:textId="77777777" w:rsidR="00EC3E6A" w:rsidRDefault="00EC3E6A" w:rsidP="00EC3E6A">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w:t>
      </w:r>
      <w:proofErr w:type="gramStart"/>
      <w:r w:rsidRPr="009802CC">
        <w:rPr>
          <w:color w:val="000000" w:themeColor="text1"/>
          <w:sz w:val="12"/>
          <w:szCs w:val="26"/>
        </w:rPr>
        <w:t>as a result of</w:t>
      </w:r>
      <w:proofErr w:type="gramEnd"/>
      <w:r w:rsidRPr="009802CC">
        <w:rPr>
          <w:color w:val="000000" w:themeColor="text1"/>
          <w:sz w:val="12"/>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 xml:space="preserve">I was </w:t>
      </w:r>
      <w:proofErr w:type="gramStart"/>
      <w:r w:rsidRPr="009802CC">
        <w:rPr>
          <w:rStyle w:val="Emphasis"/>
          <w:color w:val="000000" w:themeColor="text1"/>
        </w:rPr>
        <w:t>beginning to notice</w:t>
      </w:r>
      <w:proofErr w:type="gramEnd"/>
      <w:r w:rsidRPr="009802CC">
        <w:rPr>
          <w:rStyle w:val="Emphasis"/>
          <w:color w:val="000000" w:themeColor="text1"/>
        </w:rPr>
        <w:t xml:space="preserv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 xml:space="preserve">analyzing the </w:t>
      </w:r>
      <w:proofErr w:type="spellStart"/>
      <w:r w:rsidRPr="009802CC">
        <w:rPr>
          <w:rStyle w:val="Emphasis"/>
          <w:color w:val="000000" w:themeColor="text1"/>
          <w:highlight w:val="green"/>
        </w:rPr>
        <w:t>crip</w:t>
      </w:r>
      <w:proofErr w:type="spellEnd"/>
      <w:r w:rsidRPr="009802CC">
        <w:rPr>
          <w:rStyle w:val="Emphasis"/>
          <w:color w:val="000000" w:themeColor="text1"/>
          <w:highlight w:val="green"/>
        </w:rPr>
        <w:t>-pessimist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9802CC">
        <w:rPr>
          <w:rStyle w:val="Emphasis"/>
          <w:color w:val="000000" w:themeColor="text1"/>
          <w:szCs w:val="26"/>
        </w:rPr>
        <w:t>Often times</w:t>
      </w:r>
      <w:proofErr w:type="gramEnd"/>
      <w:r w:rsidRPr="009802CC">
        <w:rPr>
          <w:rStyle w:val="Emphasis"/>
          <w:color w:val="000000" w:themeColor="text1"/>
          <w:szCs w:val="26"/>
        </w:rPr>
        <w:t xml:space="preserve">,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w:t>
      </w:r>
      <w:proofErr w:type="spellStart"/>
      <w:r w:rsidRPr="009802CC">
        <w:rPr>
          <w:color w:val="000000" w:themeColor="text1"/>
          <w:sz w:val="12"/>
          <w:szCs w:val="26"/>
        </w:rPr>
        <w:t>crip</w:t>
      </w:r>
      <w:proofErr w:type="spellEnd"/>
      <w:r w:rsidRPr="009802CC">
        <w:rPr>
          <w:color w:val="000000" w:themeColor="text1"/>
          <w:sz w:val="12"/>
          <w:szCs w:val="26"/>
        </w:rPr>
        <w:t xml:space="preserve">-pessimism.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w:t>
      </w:r>
      <w:proofErr w:type="gramStart"/>
      <w:r w:rsidRPr="009802CC">
        <w:rPr>
          <w:color w:val="000000" w:themeColor="text1"/>
          <w:sz w:val="12"/>
          <w:szCs w:val="26"/>
        </w:rPr>
        <w:t>absolutely necessary</w:t>
      </w:r>
      <w:proofErr w:type="gramEnd"/>
      <w:r w:rsidRPr="009802CC">
        <w:rPr>
          <w:color w:val="000000" w:themeColor="text1"/>
          <w:sz w:val="12"/>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proofErr w:type="spellStart"/>
      <w:r w:rsidRPr="009802CC">
        <w:rPr>
          <w:rStyle w:val="Emphasis"/>
          <w:color w:val="000000" w:themeColor="text1"/>
          <w:highlight w:val="green"/>
        </w:rPr>
        <w:t>crip</w:t>
      </w:r>
      <w:proofErr w:type="spellEnd"/>
      <w:r w:rsidRPr="009802CC">
        <w:rPr>
          <w:rStyle w:val="Emphasis"/>
          <w:color w:val="000000" w:themeColor="text1"/>
          <w:highlight w:val="green"/>
        </w:rPr>
        <w:t>-pessimism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9802CC">
        <w:rPr>
          <w:color w:val="000000" w:themeColor="text1"/>
          <w:sz w:val="12"/>
          <w:szCs w:val="26"/>
        </w:rPr>
        <w:t>open up</w:t>
      </w:r>
      <w:proofErr w:type="gramEnd"/>
      <w:r w:rsidRPr="009802CC">
        <w:rPr>
          <w:color w:val="000000" w:themeColor="text1"/>
          <w:sz w:val="12"/>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 xml:space="preserve">Philosophical pessimism is articulated next </w:t>
      </w:r>
      <w:proofErr w:type="gramStart"/>
      <w:r w:rsidRPr="009802CC">
        <w:rPr>
          <w:rStyle w:val="Emphasis"/>
          <w:color w:val="000000" w:themeColor="text1"/>
          <w:szCs w:val="26"/>
        </w:rPr>
        <w:t>as a way to</w:t>
      </w:r>
      <w:proofErr w:type="gramEnd"/>
      <w:r w:rsidRPr="009802CC">
        <w:rPr>
          <w:rStyle w:val="Emphasis"/>
          <w:color w:val="000000" w:themeColor="text1"/>
          <w:szCs w:val="26"/>
        </w:rPr>
        <w:t xml:space="preserve"> temper the risk of sensationalizing dis/ability</w:t>
      </w:r>
      <w:r w:rsidRPr="009802CC">
        <w:rPr>
          <w:color w:val="000000" w:themeColor="text1"/>
          <w:sz w:val="12"/>
          <w:szCs w:val="26"/>
        </w:rPr>
        <w:t xml:space="preserve">. The theories ultimately fuse together like orchids and wasps to generate the larger theme of </w:t>
      </w:r>
      <w:proofErr w:type="spellStart"/>
      <w:r w:rsidRPr="009802CC">
        <w:rPr>
          <w:color w:val="000000" w:themeColor="text1"/>
          <w:sz w:val="12"/>
          <w:szCs w:val="26"/>
        </w:rPr>
        <w:t>crip</w:t>
      </w:r>
      <w:proofErr w:type="spellEnd"/>
      <w:r w:rsidRPr="009802CC">
        <w:rPr>
          <w:color w:val="000000" w:themeColor="text1"/>
          <w:sz w:val="12"/>
          <w:szCs w:val="26"/>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1937CCE4" w14:textId="77777777" w:rsidR="00EC3E6A" w:rsidRPr="0004302C" w:rsidRDefault="00EC3E6A" w:rsidP="00EC3E6A">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0CBBF67C" w14:textId="77777777" w:rsidR="00EC3E6A" w:rsidRPr="0004302C" w:rsidRDefault="00EC3E6A" w:rsidP="00EC3E6A">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21EBBA9B" w14:textId="77777777" w:rsidR="00EC3E6A" w:rsidRDefault="00EC3E6A" w:rsidP="00EC3E6A">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w:t>
      </w:r>
      <w:proofErr w:type="gramStart"/>
      <w:r w:rsidRPr="0004302C">
        <w:rPr>
          <w:rStyle w:val="Emphasis"/>
          <w:color w:val="000000" w:themeColor="text1"/>
        </w:rPr>
        <w:t>particular races</w:t>
      </w:r>
      <w:proofErr w:type="gramEnd"/>
      <w:r w:rsidRPr="0004302C">
        <w:rPr>
          <w:rStyle w:val="Emphasis"/>
          <w:color w:val="000000" w:themeColor="text1"/>
        </w:rPr>
        <w:t xml:space="preserve">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w:t>
      </w:r>
      <w:proofErr w:type="gramStart"/>
      <w:r w:rsidRPr="0004302C">
        <w:rPr>
          <w:color w:val="000000" w:themeColor="text1"/>
          <w:sz w:val="14"/>
        </w:rPr>
        <w:t>As long as</w:t>
      </w:r>
      <w:proofErr w:type="gramEnd"/>
      <w:r w:rsidRPr="0004302C">
        <w:rPr>
          <w:color w:val="000000" w:themeColor="text1"/>
          <w:sz w:val="14"/>
        </w:rPr>
        <w:t xml:space="preserve">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w:t>
      </w:r>
      <w:proofErr w:type="gramStart"/>
      <w:r w:rsidRPr="0004302C">
        <w:rPr>
          <w:color w:val="000000" w:themeColor="text1"/>
          <w:sz w:val="14"/>
        </w:rPr>
        <w:t>as long as</w:t>
      </w:r>
      <w:proofErr w:type="gramEnd"/>
      <w:r w:rsidRPr="0004302C">
        <w:rPr>
          <w:color w:val="000000" w:themeColor="text1"/>
          <w:sz w:val="14"/>
        </w:rPr>
        <w:t xml:space="preserve">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xml:space="preserve">. Moreover, that pain </w:t>
      </w:r>
      <w:proofErr w:type="gramStart"/>
      <w:r w:rsidRPr="0004302C">
        <w:rPr>
          <w:rStyle w:val="Emphasis"/>
          <w:color w:val="000000" w:themeColor="text1"/>
        </w:rPr>
        <w:t>in itself leads</w:t>
      </w:r>
      <w:proofErr w:type="gramEnd"/>
      <w:r w:rsidRPr="0004302C">
        <w:rPr>
          <w:rStyle w:val="Emphasis"/>
          <w:color w:val="000000" w:themeColor="text1"/>
        </w:rPr>
        <w:t xml:space="preserve">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6B6291B1" w14:textId="77777777" w:rsidR="00EC3E6A" w:rsidRPr="00D24FE5" w:rsidRDefault="00EC3E6A" w:rsidP="00EC3E6A">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3F7C14C8" w14:textId="77777777" w:rsidR="00EC3E6A" w:rsidRPr="00D24FE5" w:rsidRDefault="00EC3E6A" w:rsidP="00EC3E6A">
      <w:pPr>
        <w:rPr>
          <w:b/>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163622A3" w14:textId="77777777" w:rsidR="00EC3E6A" w:rsidRDefault="00EC3E6A" w:rsidP="00EC3E6A">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w:t>
      </w:r>
      <w:proofErr w:type="gramStart"/>
      <w:r w:rsidRPr="00CF49AE">
        <w:rPr>
          <w:rStyle w:val="Emphasis"/>
        </w:rPr>
        <w:t xml:space="preserve">particular </w:t>
      </w:r>
      <w:r w:rsidRPr="009C2DDA">
        <w:rPr>
          <w:rStyle w:val="Emphasis"/>
          <w:highlight w:val="green"/>
        </w:rPr>
        <w:t>content</w:t>
      </w:r>
      <w:proofErr w:type="gramEnd"/>
      <w:r w:rsidRPr="009C2DDA">
        <w:rPr>
          <w:rStyle w:val="Emphasis"/>
          <w:highlight w:val="green"/>
        </w:rPr>
        <w:t xml:space="preserve">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w:t>
      </w:r>
      <w:proofErr w:type="gramStart"/>
      <w:r w:rsidRPr="00CF49AE">
        <w:rPr>
          <w:sz w:val="14"/>
          <w:szCs w:val="26"/>
        </w:rPr>
        <w:t>particular subjects</w:t>
      </w:r>
      <w:proofErr w:type="gramEnd"/>
      <w:r w:rsidRPr="00CF49AE">
        <w:rPr>
          <w:sz w:val="14"/>
          <w:szCs w:val="26"/>
        </w:rPr>
        <w:t xml:space="preserve">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w:t>
      </w:r>
      <w:proofErr w:type="gramStart"/>
      <w:r w:rsidRPr="00CF49AE">
        <w:rPr>
          <w:sz w:val="14"/>
          <w:szCs w:val="26"/>
        </w:rPr>
        <w:t>in particular sexual</w:t>
      </w:r>
      <w:proofErr w:type="gramEnd"/>
      <w:r w:rsidRPr="00CF49AE">
        <w:rPr>
          <w:sz w:val="14"/>
          <w:szCs w:val="26"/>
        </w:rPr>
        <w:t xml:space="preserve">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35DB82DC" w14:textId="77777777" w:rsidR="00EC3E6A" w:rsidRPr="003C0707" w:rsidRDefault="00EC3E6A" w:rsidP="00EC3E6A">
      <w:pPr>
        <w:pStyle w:val="Heading4"/>
      </w:pPr>
      <w:r>
        <w:t xml:space="preserve">The 1AC method is compatible with a form of </w:t>
      </w:r>
      <w:r w:rsidRPr="003C0707">
        <w:t>conspiratorial communism – it’s the only solution</w:t>
      </w:r>
      <w:r>
        <w:t xml:space="preserve"> to neoliberalism.</w:t>
      </w:r>
    </w:p>
    <w:p w14:paraId="4137FBE0" w14:textId="77777777" w:rsidR="00EC3E6A" w:rsidRPr="003C0707" w:rsidRDefault="00EC3E6A" w:rsidP="00EC3E6A">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9" w:history="1">
        <w:r w:rsidRPr="003C0707">
          <w:rPr>
            <w:rStyle w:val="Hyperlink"/>
            <w:sz w:val="16"/>
            <w:szCs w:val="18"/>
          </w:rPr>
          <w:t>https://track5.mixtape.moe/frhirn.pdf</w:t>
        </w:r>
      </w:hyperlink>
      <w:r w:rsidRPr="003C0707">
        <w:rPr>
          <w:sz w:val="16"/>
          <w:szCs w:val="18"/>
        </w:rPr>
        <w:t>) SJBE</w:t>
      </w:r>
    </w:p>
    <w:p w14:paraId="1BC6A4EE" w14:textId="77777777" w:rsidR="00EC3E6A" w:rsidRPr="00E8227A" w:rsidRDefault="00EC3E6A" w:rsidP="00EC3E6A">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w:t>
      </w:r>
      <w:proofErr w:type="gramStart"/>
      <w:r w:rsidRPr="00B477E8">
        <w:rPr>
          <w:rStyle w:val="Emphasis"/>
        </w:rPr>
        <w:t xml:space="preserve">joyous </w:t>
      </w:r>
      <w:r w:rsidRPr="00DA7FB9">
        <w:rPr>
          <w:rStyle w:val="Emphasis"/>
          <w:highlight w:val="green"/>
        </w:rPr>
        <w:t>celebration</w:t>
      </w:r>
      <w:proofErr w:type="gramEnd"/>
      <w:r w:rsidRPr="00DA7FB9">
        <w:rPr>
          <w:rStyle w:val="Emphasis"/>
          <w:highlight w:val="green"/>
        </w:rPr>
        <w:t xml:space="preserve">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w:t>
      </w:r>
      <w:proofErr w:type="gramStart"/>
      <w:r w:rsidRPr="003C0707">
        <w:rPr>
          <w:sz w:val="16"/>
        </w:rPr>
        <w:t>, that is to say, automatic</w:t>
      </w:r>
      <w:proofErr w:type="gramEnd"/>
      <w:r w:rsidRPr="003C0707">
        <w:rPr>
          <w:sz w:val="16"/>
        </w:rPr>
        <w:t xml:space="preserve">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natura,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2EB20F29" w14:textId="77777777" w:rsidR="00EC3E6A" w:rsidRPr="00B10F37" w:rsidRDefault="00EC3E6A" w:rsidP="00EC3E6A">
      <w:pPr>
        <w:pStyle w:val="Heading4"/>
        <w:rPr>
          <w:sz w:val="8"/>
        </w:rPr>
      </w:pPr>
      <w:r>
        <w:t xml:space="preserve">Notions of competitive equity </w:t>
      </w:r>
      <w:r w:rsidRPr="00B10F37">
        <w:t>marginalize the out group and retrench power structures</w:t>
      </w:r>
      <w:r>
        <w:t>.</w:t>
      </w:r>
    </w:p>
    <w:p w14:paraId="7FFC636B" w14:textId="77777777" w:rsidR="00EC3E6A" w:rsidRPr="00B10F37" w:rsidRDefault="00EC3E6A" w:rsidP="00EC3E6A">
      <w:pPr>
        <w:pStyle w:val="Smalltext"/>
        <w:rPr>
          <w:color w:val="000000" w:themeColor="text1"/>
        </w:rPr>
      </w:pPr>
      <w:r w:rsidRPr="00B10F37">
        <w:rPr>
          <w:rStyle w:val="Style13ptBold"/>
          <w:color w:val="000000" w:themeColor="text1"/>
        </w:rPr>
        <w:t>Delgado 92</w:t>
      </w:r>
      <w:r w:rsidRPr="00B10F37">
        <w:rPr>
          <w:color w:val="000000" w:themeColor="text1"/>
        </w:rPr>
        <w:t xml:space="preserve">, Law Prof at U. of Colorado, 1992 [Richard, “Shadowboxing: An Essay </w:t>
      </w:r>
      <w:proofErr w:type="gramStart"/>
      <w:r w:rsidRPr="00B10F37">
        <w:rPr>
          <w:color w:val="000000" w:themeColor="text1"/>
        </w:rPr>
        <w:t>On</w:t>
      </w:r>
      <w:proofErr w:type="gramEnd"/>
      <w:r w:rsidRPr="00B10F37">
        <w:rPr>
          <w:color w:val="000000" w:themeColor="text1"/>
        </w:rPr>
        <w:t xml:space="preserve"> Power,” In Cornell Law Review, May]</w:t>
      </w:r>
    </w:p>
    <w:p w14:paraId="107F03AC" w14:textId="77777777" w:rsidR="00EC3E6A" w:rsidRDefault="00EC3E6A" w:rsidP="00EC3E6A">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xml:space="preserve">, the stronger party </w:t>
      </w:r>
      <w:proofErr w:type="gramStart"/>
      <w:r w:rsidRPr="009C2DDA">
        <w:rPr>
          <w:rStyle w:val="Emphasis"/>
          <w:highlight w:val="green"/>
        </w:rPr>
        <w:t>is able to</w:t>
      </w:r>
      <w:proofErr w:type="gramEnd"/>
      <w:r w:rsidRPr="009C2DDA">
        <w:rPr>
          <w:rStyle w:val="Emphasis"/>
          <w:highlight w:val="green"/>
        </w:rPr>
        <w:t xml:space="preserve">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1" w:name="PAGE_821_8325"/>
      <w:bookmarkEnd w:id="1"/>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w:t>
      </w:r>
      <w:proofErr w:type="gramStart"/>
      <w:r w:rsidRPr="00B10F37">
        <w:rPr>
          <w:color w:val="000000" w:themeColor="text1"/>
        </w:rPr>
        <w:t>in order to</w:t>
      </w:r>
      <w:proofErr w:type="gramEnd"/>
      <w:r w:rsidRPr="00B10F37">
        <w:rPr>
          <w:color w:val="000000" w:themeColor="text1"/>
        </w:rPr>
        <w:t xml:space="preserve"> judge our own acts. </w:t>
      </w:r>
    </w:p>
    <w:p w14:paraId="73BCA470" w14:textId="77777777" w:rsidR="00EC3E6A" w:rsidRPr="00A92DB1" w:rsidRDefault="00EC3E6A" w:rsidP="00EC3E6A">
      <w:pPr>
        <w:pStyle w:val="Heading4"/>
      </w:pPr>
      <w:r w:rsidRPr="00A92DB1">
        <w:t>Focusing on indigenous sovereignty replicates a “logic of recognition” and the jurisdiction of the settler state. Their analysis becomes less about territory and more about the body that governs. Powell 15</w:t>
      </w:r>
    </w:p>
    <w:p w14:paraId="26FD5D6B" w14:textId="77777777" w:rsidR="00EC3E6A" w:rsidRPr="00A92DB1" w:rsidRDefault="00EC3E6A" w:rsidP="00EC3E6A">
      <w:pPr>
        <w:rPr>
          <w:sz w:val="16"/>
          <w:szCs w:val="16"/>
        </w:rPr>
      </w:pPr>
      <w:r w:rsidRPr="00A92DB1">
        <w:rPr>
          <w:rtl/>
        </w:rPr>
        <w:t>“</w:t>
      </w:r>
      <w:r w:rsidRPr="00A92DB1">
        <w:rPr>
          <w:sz w:val="16"/>
          <w:szCs w:val="16"/>
        </w:rPr>
        <w:t>The rainbow is our sovereignty: Rethinking the politics of energy on the Navajo Nation</w:t>
      </w:r>
      <w:r w:rsidRPr="00A92DB1">
        <w:rPr>
          <w:sz w:val="16"/>
          <w:szCs w:val="16"/>
          <w:rtl/>
        </w:rPr>
        <w:t xml:space="preserve">” </w:t>
      </w:r>
      <w:r w:rsidRPr="00A92DB1">
        <w:rPr>
          <w:sz w:val="16"/>
          <w:szCs w:val="16"/>
        </w:rPr>
        <w:t>Dana E. Powell 2015 // LHPDD</w:t>
      </w:r>
    </w:p>
    <w:p w14:paraId="60F587BE" w14:textId="77777777" w:rsidR="00EC3E6A" w:rsidRPr="00A92DB1" w:rsidRDefault="00EC3E6A" w:rsidP="00EC3E6A">
      <w:pPr>
        <w:rPr>
          <w:sz w:val="16"/>
          <w:rtl/>
        </w:rPr>
      </w:pPr>
      <w:r w:rsidRPr="00A92DB1">
        <w:rPr>
          <w:sz w:val="16"/>
          <w:rtl/>
        </w:rPr>
        <w:t xml:space="preserve"> “</w:t>
      </w:r>
      <w:r w:rsidRPr="00A92DB1">
        <w:rPr>
          <w:sz w:val="16"/>
        </w:rPr>
        <w:t xml:space="preserve">Recent moves in political ecology, anthropology, and critical Native American/Indigenous studies (NAIS) are instructive here and deserve to be brought into orbit with one another. Some seek to rethink sovereignty in ways that challenge state-centric analyses, through support to global peasant and food sovereignty movements that challenge official discourses of food 'security' (Desmarais 2007); others consider 'graduated sovereignty' among Asian states (Ong 2006) and the insidious reincorporation of 'indigenous knowledge' by states involved in mapping and other territorial projects. </w:t>
      </w:r>
      <w:proofErr w:type="gramStart"/>
      <w:r w:rsidRPr="00A92DB1">
        <w:rPr>
          <w:sz w:val="16"/>
        </w:rPr>
        <w:t>These advance state authority (McCreary and Lamb 2014)</w:t>
      </w:r>
      <w:proofErr w:type="gramEnd"/>
      <w:r w:rsidRPr="00A92DB1">
        <w:rPr>
          <w:sz w:val="16"/>
        </w:rPr>
        <w:t>. Nonetheless,</w:t>
      </w:r>
      <w:r w:rsidRPr="00A92DB1">
        <w:rPr>
          <w:sz w:val="16"/>
          <w:rtl/>
        </w:rPr>
        <w:t xml:space="preserve"> </w:t>
      </w:r>
      <w:r w:rsidRPr="00A92DB1">
        <w:rPr>
          <w:rStyle w:val="Emphasis"/>
        </w:rPr>
        <w:t xml:space="preserve">the primary emphasis in most approaches to natural resource and </w:t>
      </w:r>
      <w:r w:rsidRPr="00A92DB1">
        <w:rPr>
          <w:rStyle w:val="Emphasis"/>
          <w:highlight w:val="green"/>
        </w:rPr>
        <w:t>environmental governance is the jurisdiction of the (settler) state.</w:t>
      </w:r>
      <w:r w:rsidRPr="00A92DB1">
        <w:rPr>
          <w:rStyle w:val="Emphasis"/>
        </w:rPr>
        <w:t xml:space="preserve"> Often, </w:t>
      </w:r>
      <w:r w:rsidRPr="00A92DB1">
        <w:rPr>
          <w:rStyle w:val="Emphasis"/>
          <w:highlight w:val="green"/>
        </w:rPr>
        <w:t>this "cunning of recognition"</w:t>
      </w:r>
      <w:r w:rsidRPr="00A92DB1">
        <w:rPr>
          <w:sz w:val="16"/>
          <w:rtl/>
        </w:rPr>
        <w:t xml:space="preserve"> </w:t>
      </w:r>
      <w:r w:rsidRPr="00A92DB1">
        <w:rPr>
          <w:sz w:val="16"/>
        </w:rPr>
        <w:t>(</w:t>
      </w:r>
      <w:proofErr w:type="spellStart"/>
      <w:r w:rsidRPr="00A92DB1">
        <w:rPr>
          <w:sz w:val="16"/>
        </w:rPr>
        <w:t>Povenelli</w:t>
      </w:r>
      <w:proofErr w:type="spellEnd"/>
      <w:r w:rsidRPr="00A92DB1">
        <w:rPr>
          <w:sz w:val="16"/>
        </w:rPr>
        <w:t xml:space="preserve"> 2002) in </w:t>
      </w:r>
      <w:r w:rsidRPr="00A92DB1">
        <w:rPr>
          <w:rStyle w:val="Emphasis"/>
        </w:rPr>
        <w:t>fact</w:t>
      </w:r>
      <w:r w:rsidRPr="00A92DB1">
        <w:rPr>
          <w:rStyle w:val="Emphasis"/>
          <w:rtl/>
        </w:rPr>
        <w:t xml:space="preserve"> </w:t>
      </w:r>
      <w:r w:rsidRPr="00A92DB1">
        <w:rPr>
          <w:rStyle w:val="Emphasis"/>
          <w:highlight w:val="green"/>
        </w:rPr>
        <w:t>reflects</w:t>
      </w:r>
      <w:r w:rsidRPr="00A92DB1">
        <w:rPr>
          <w:sz w:val="16"/>
          <w:rtl/>
        </w:rPr>
        <w:t xml:space="preserve"> </w:t>
      </w:r>
      <w:r w:rsidRPr="00A92DB1">
        <w:rPr>
          <w:sz w:val="16"/>
        </w:rPr>
        <w:t xml:space="preserve">what Jean Dennison describes </w:t>
      </w:r>
      <w:r w:rsidRPr="00A92DB1">
        <w:rPr>
          <w:rStyle w:val="Emphasis"/>
        </w:rPr>
        <w:t>as</w:t>
      </w:r>
      <w:r w:rsidRPr="00A92DB1">
        <w:rPr>
          <w:rStyle w:val="Emphasis"/>
          <w:rtl/>
        </w:rPr>
        <w:t xml:space="preserve"> </w:t>
      </w:r>
      <w:r w:rsidRPr="00A92DB1">
        <w:rPr>
          <w:rStyle w:val="Emphasis"/>
        </w:rPr>
        <w:t xml:space="preserve">a settler colonial </w:t>
      </w:r>
      <w:r w:rsidRPr="00A92DB1">
        <w:rPr>
          <w:rStyle w:val="Emphasis"/>
          <w:highlight w:val="green"/>
        </w:rPr>
        <w:t>"logic of recognition"</w:t>
      </w:r>
      <w:r w:rsidRPr="00A92DB1">
        <w:rPr>
          <w:sz w:val="16"/>
          <w:rtl/>
        </w:rPr>
        <w:t xml:space="preserve"> </w:t>
      </w:r>
      <w:r w:rsidRPr="00A92DB1">
        <w:rPr>
          <w:sz w:val="16"/>
        </w:rPr>
        <w:t xml:space="preserve">(Dennison 2014). In her work on her own Osage Nation's shifting citizenship policies, Dennison details ethnographically </w:t>
      </w:r>
      <w:r w:rsidRPr="00A92DB1">
        <w:rPr>
          <w:rStyle w:val="Emphasis"/>
        </w:rPr>
        <w:t>how</w:t>
      </w:r>
      <w:r w:rsidRPr="00A92DB1">
        <w:rPr>
          <w:rStyle w:val="Emphasis"/>
          <w:rtl/>
        </w:rPr>
        <w:t xml:space="preserve"> </w:t>
      </w:r>
      <w:r w:rsidRPr="00A92DB1">
        <w:rPr>
          <w:rStyle w:val="Emphasis"/>
          <w:highlight w:val="green"/>
        </w:rPr>
        <w:t>this</w:t>
      </w:r>
      <w:r w:rsidRPr="00A92DB1">
        <w:rPr>
          <w:rStyle w:val="Emphasis"/>
        </w:rPr>
        <w:t xml:space="preserve"> problematic logic dangerously </w:t>
      </w:r>
      <w:r w:rsidRPr="00A92DB1">
        <w:rPr>
          <w:rStyle w:val="Emphasis"/>
          <w:highlight w:val="green"/>
        </w:rPr>
        <w:t>shifts discourses of belonging</w:t>
      </w:r>
      <w:r w:rsidRPr="00A92DB1">
        <w:rPr>
          <w:rStyle w:val="Emphasis"/>
        </w:rPr>
        <w:t xml:space="preserve"> and self- </w:t>
      </w:r>
      <w:r w:rsidRPr="00A92DB1">
        <w:rPr>
          <w:rStyle w:val="Emphasis"/>
          <w:highlight w:val="green"/>
        </w:rPr>
        <w:t>identification away from territory</w:t>
      </w:r>
      <w:r w:rsidRPr="00A92DB1">
        <w:rPr>
          <w:sz w:val="16"/>
          <w:rtl/>
        </w:rPr>
        <w:t xml:space="preserve"> </w:t>
      </w:r>
      <w:r w:rsidRPr="00A92DB1">
        <w:rPr>
          <w:sz w:val="16"/>
        </w:rPr>
        <w:t>(quite literally, the very ground on which the future is to be built),</w:t>
      </w:r>
      <w:r w:rsidRPr="00A92DB1">
        <w:rPr>
          <w:sz w:val="16"/>
          <w:rtl/>
        </w:rPr>
        <w:t xml:space="preserve"> </w:t>
      </w:r>
      <w:r w:rsidRPr="00A92DB1">
        <w:rPr>
          <w:rStyle w:val="Emphasis"/>
        </w:rPr>
        <w:t>favoring instead discourses of the body. With this shift, struggles to define citizen-selves through race, blood, and descent alone work to undermine indigenous nations' precarious relations with non-indigenous populations in shared or overlapping territories, and ultimately, Native nations' authority over their own land</w:t>
      </w:r>
      <w:r w:rsidRPr="00A92DB1">
        <w:rPr>
          <w:sz w:val="16"/>
          <w:rtl/>
        </w:rPr>
        <w:t xml:space="preserve"> </w:t>
      </w:r>
      <w:r w:rsidRPr="00A92DB1">
        <w:rPr>
          <w:sz w:val="16"/>
        </w:rPr>
        <w:t>(Dennison 2014). I argue, with Dennison, that</w:t>
      </w:r>
      <w:r w:rsidRPr="00A92DB1">
        <w:rPr>
          <w:sz w:val="16"/>
          <w:rtl/>
        </w:rPr>
        <w:t xml:space="preserve"> </w:t>
      </w:r>
      <w:r w:rsidRPr="00A92DB1">
        <w:rPr>
          <w:rStyle w:val="Emphasis"/>
          <w:highlight w:val="green"/>
        </w:rPr>
        <w:t>the politics of abandoning territorial notions of</w:t>
      </w:r>
      <w:r w:rsidRPr="00A92DB1">
        <w:rPr>
          <w:rStyle w:val="Emphasis"/>
        </w:rPr>
        <w:t xml:space="preserve"> citizenship/</w:t>
      </w:r>
      <w:r w:rsidRPr="00A92DB1">
        <w:rPr>
          <w:rStyle w:val="Emphasis"/>
          <w:highlight w:val="green"/>
        </w:rPr>
        <w:t>sovereignty is part</w:t>
      </w:r>
      <w:r w:rsidRPr="00A92DB1">
        <w:rPr>
          <w:rStyle w:val="Emphasis"/>
        </w:rPr>
        <w:t xml:space="preserve"> and parcel </w:t>
      </w:r>
      <w:r w:rsidRPr="00A92DB1">
        <w:rPr>
          <w:rStyle w:val="Emphasis"/>
          <w:highlight w:val="green"/>
        </w:rPr>
        <w:t>of settler colonial logics, creating the conditions for further erosion of indigenous authority over landscapes.</w:t>
      </w:r>
      <w:r w:rsidRPr="00A92DB1">
        <w:rPr>
          <w:sz w:val="16"/>
        </w:rPr>
        <w:t xml:space="preserve"> And yet, as I have found over the course of several years of research with and among Dine</w:t>
      </w:r>
      <w:r w:rsidRPr="00A92DB1">
        <w:rPr>
          <w:sz w:val="16"/>
          <w:rtl/>
        </w:rPr>
        <w:t xml:space="preserve">́ </w:t>
      </w:r>
      <w:r w:rsidRPr="00A92DB1">
        <w:rPr>
          <w:sz w:val="16"/>
        </w:rPr>
        <w:t>people, there is a felt, lived, sensorial connection forged through practice between bodies and territories</w:t>
      </w:r>
      <w:r w:rsidRPr="00A92DB1">
        <w:rPr>
          <w:sz w:val="16"/>
          <w:rtl/>
        </w:rPr>
        <w:t xml:space="preserve"> </w:t>
      </w:r>
      <w:r w:rsidRPr="00A92DB1">
        <w:rPr>
          <w:sz w:val="16"/>
        </w:rPr>
        <w:t xml:space="preserve">on the Navajo Nation </w:t>
      </w:r>
      <w:r w:rsidRPr="00A92DB1">
        <w:rPr>
          <w:sz w:val="16"/>
          <w:rtl/>
        </w:rPr>
        <w:t xml:space="preserve">– </w:t>
      </w:r>
      <w:r w:rsidRPr="00A92DB1">
        <w:rPr>
          <w:sz w:val="16"/>
        </w:rPr>
        <w:t xml:space="preserve">so much so, that I emphasize here the lived dimension of territorial sovereignty. The embodiment is closer to Tim Ingold's discussion of dwelling and </w:t>
      </w:r>
      <w:proofErr w:type="spellStart"/>
      <w:r w:rsidRPr="00A92DB1">
        <w:rPr>
          <w:sz w:val="16"/>
        </w:rPr>
        <w:t>enskillment</w:t>
      </w:r>
      <w:proofErr w:type="spellEnd"/>
      <w:r w:rsidRPr="00A92DB1">
        <w:rPr>
          <w:sz w:val="16"/>
        </w:rPr>
        <w:t xml:space="preserve"> as part of belonging to a territory (Ingold 2011),</w:t>
      </w:r>
      <w:r w:rsidRPr="00A92DB1">
        <w:rPr>
          <w:sz w:val="16"/>
          <w:rtl/>
        </w:rPr>
        <w:t xml:space="preserve"> </w:t>
      </w:r>
      <w:r w:rsidRPr="00A92DB1">
        <w:rPr>
          <w:rStyle w:val="Emphasis"/>
        </w:rPr>
        <w:t>a phenomenological departure from</w:t>
      </w:r>
      <w:r w:rsidRPr="00A92DB1">
        <w:rPr>
          <w:sz w:val="16"/>
        </w:rPr>
        <w:t xml:space="preserve"> what Dennison critiques as</w:t>
      </w:r>
      <w:r w:rsidRPr="00A92DB1">
        <w:rPr>
          <w:sz w:val="16"/>
          <w:rtl/>
        </w:rPr>
        <w:t xml:space="preserve"> </w:t>
      </w:r>
      <w:r w:rsidRPr="00A92DB1">
        <w:rPr>
          <w:rStyle w:val="Emphasis"/>
        </w:rPr>
        <w:t>the more commodified, and ultimately divisive, identifiers of race, blood, and descent.</w:t>
      </w:r>
      <w:r w:rsidRPr="00A92DB1">
        <w:rPr>
          <w:sz w:val="16"/>
          <w:rtl/>
        </w:rPr>
        <w:t>” (55)</w:t>
      </w:r>
    </w:p>
    <w:p w14:paraId="466574DE" w14:textId="77777777" w:rsidR="00EC3E6A" w:rsidRPr="00027E14" w:rsidRDefault="00EC3E6A" w:rsidP="00EC3E6A">
      <w:pPr>
        <w:pStyle w:val="Heading4"/>
      </w:pPr>
      <w:r>
        <w:t>Colonialism occurs through the categorization of natives as “disabled” – decol fails absent the permutation.</w:t>
      </w:r>
    </w:p>
    <w:p w14:paraId="3D413141" w14:textId="77777777" w:rsidR="00EC3E6A" w:rsidRPr="0029181C" w:rsidRDefault="00EC3E6A" w:rsidP="00EC3E6A">
      <w:proofErr w:type="spellStart"/>
      <w:r w:rsidRPr="0029181C">
        <w:rPr>
          <w:rStyle w:val="Style13ptBold"/>
        </w:rPr>
        <w:t>Imada</w:t>
      </w:r>
      <w:proofErr w:type="spellEnd"/>
      <w:r w:rsidRPr="0029181C">
        <w:rPr>
          <w:rStyle w:val="Style13ptBold"/>
        </w:rPr>
        <w:t xml:space="preserve"> 17</w:t>
      </w:r>
      <w:r w:rsidRPr="0029181C">
        <w:rPr>
          <w:sz w:val="16"/>
          <w:szCs w:val="16"/>
        </w:rPr>
        <w:t xml:space="preserve"> </w:t>
      </w:r>
      <w:proofErr w:type="spellStart"/>
      <w:r w:rsidRPr="0029181C">
        <w:rPr>
          <w:sz w:val="16"/>
          <w:szCs w:val="16"/>
        </w:rPr>
        <w:t>Imada</w:t>
      </w:r>
      <w:proofErr w:type="spellEnd"/>
      <w:r w:rsidRPr="0029181C">
        <w:rPr>
          <w:sz w:val="16"/>
          <w:szCs w:val="16"/>
        </w:rPr>
        <w:t xml:space="preserve">, Adria L. “A Decolonial Disability Studies?” Disability Studies Quarterly, 2017. </w:t>
      </w:r>
      <w:hyperlink r:id="rId10" w:history="1">
        <w:r w:rsidRPr="0029181C">
          <w:rPr>
            <w:rStyle w:val="Hyperlink"/>
            <w:sz w:val="16"/>
            <w:szCs w:val="16"/>
          </w:rPr>
          <w:t>https://dsq-sds.org/article/view/5984/4694</w:t>
        </w:r>
      </w:hyperlink>
      <w:r w:rsidRPr="0029181C">
        <w:rPr>
          <w:sz w:val="16"/>
          <w:szCs w:val="16"/>
        </w:rPr>
        <w:t>. //ACCS JM</w:t>
      </w:r>
    </w:p>
    <w:p w14:paraId="090B64D5" w14:textId="77777777" w:rsidR="00EC3E6A" w:rsidRDefault="00EC3E6A" w:rsidP="00EC3E6A">
      <w:pPr>
        <w:rPr>
          <w:sz w:val="16"/>
        </w:rPr>
      </w:pPr>
      <w:r w:rsidRPr="00027E14">
        <w:rPr>
          <w:sz w:val="16"/>
        </w:rPr>
        <w:t xml:space="preserve">I seek to weave two threads of analysis — disability and colonialism — that are not often in conversation in Disability Studies. How might we productively think through disability and colonialism to illuminate how non-normative </w:t>
      </w:r>
      <w:proofErr w:type="spellStart"/>
      <w:r w:rsidRPr="00027E14">
        <w:rPr>
          <w:sz w:val="16"/>
        </w:rPr>
        <w:t>bodyminds</w:t>
      </w:r>
      <w:proofErr w:type="spellEnd"/>
      <w:r w:rsidRPr="00027E14">
        <w:rPr>
          <w:sz w:val="16"/>
        </w:rPr>
        <w:t xml:space="preserve"> were (and continue to be) imagined, produced, and disciplined? In the broadest sense, </w:t>
      </w:r>
      <w:r w:rsidRPr="00027E14">
        <w:rPr>
          <w:rStyle w:val="Emphasis"/>
          <w:highlight w:val="green"/>
        </w:rPr>
        <w:t xml:space="preserve">colonialism demanded able </w:t>
      </w:r>
      <w:proofErr w:type="spellStart"/>
      <w:r w:rsidRPr="00027E14">
        <w:rPr>
          <w:rStyle w:val="Emphasis"/>
          <w:highlight w:val="green"/>
        </w:rPr>
        <w:t>bodyminds</w:t>
      </w:r>
      <w:proofErr w:type="spellEnd"/>
      <w:r w:rsidRPr="00027E14">
        <w:rPr>
          <w:rStyle w:val="Emphasis"/>
          <w:highlight w:val="green"/>
        </w:rPr>
        <w:t xml:space="preserve"> from subordinated subjects.</w:t>
      </w:r>
      <w:r w:rsidRPr="0029181C">
        <w:rPr>
          <w:rStyle w:val="StyleUnderline"/>
        </w:rPr>
        <w:t xml:space="preserve"> Colonial projects imposed impossible regimes and expectations of self-regulation its subjects would not be able to perform.</w:t>
      </w:r>
      <w:r w:rsidRPr="00027E14">
        <w:rPr>
          <w:sz w:val="16"/>
        </w:rPr>
        <w:t xml:space="preserve"> Thus, </w:t>
      </w:r>
      <w:r w:rsidRPr="0029181C">
        <w:rPr>
          <w:rStyle w:val="Emphasis"/>
          <w:highlight w:val="green"/>
        </w:rPr>
        <w:t>the colonized were always</w:t>
      </w:r>
      <w:r w:rsidRPr="0029181C">
        <w:rPr>
          <w:rStyle w:val="Emphasis"/>
        </w:rPr>
        <w:t xml:space="preserve"> already figured and </w:t>
      </w:r>
      <w:r w:rsidRPr="0029181C">
        <w:rPr>
          <w:rStyle w:val="Emphasis"/>
          <w:highlight w:val="green"/>
        </w:rPr>
        <w:t>constituted as disabled</w:t>
      </w:r>
      <w:r w:rsidRPr="0029181C">
        <w:rPr>
          <w:rStyle w:val="Emphasis"/>
        </w:rPr>
        <w:t xml:space="preserve">, whether </w:t>
      </w:r>
      <w:r w:rsidRPr="00825804">
        <w:rPr>
          <w:rStyle w:val="Emphasis"/>
          <w:highlight w:val="green"/>
        </w:rPr>
        <w:t>because of their perceived unproductivity</w:t>
      </w:r>
      <w:r w:rsidRPr="0029181C">
        <w:rPr>
          <w:rStyle w:val="StyleUnderline"/>
        </w:rPr>
        <w:t xml:space="preserve"> as laborers; </w:t>
      </w:r>
      <w:r w:rsidRPr="0029181C">
        <w:rPr>
          <w:rStyle w:val="Emphasis"/>
        </w:rPr>
        <w:t>embodied</w:t>
      </w:r>
      <w:r w:rsidRPr="0029181C">
        <w:rPr>
          <w:rStyle w:val="StyleUnderline"/>
        </w:rPr>
        <w:t xml:space="preserve"> racial-sexual </w:t>
      </w:r>
      <w:r w:rsidRPr="0029181C">
        <w:rPr>
          <w:rStyle w:val="Emphasis"/>
        </w:rPr>
        <w:t>differences</w:t>
      </w:r>
      <w:r w:rsidRPr="0029181C">
        <w:rPr>
          <w:rStyle w:val="StyleUnderline"/>
        </w:rPr>
        <w:t xml:space="preserve">; "unchaste" proclivities of their women; </w:t>
      </w:r>
      <w:r w:rsidRPr="0029181C">
        <w:rPr>
          <w:rStyle w:val="Emphasis"/>
        </w:rPr>
        <w:t>susceptibility to</w:t>
      </w:r>
      <w:r w:rsidRPr="0029181C">
        <w:rPr>
          <w:rStyle w:val="StyleUnderline"/>
        </w:rPr>
        <w:t xml:space="preserve"> moral contagion and infectious </w:t>
      </w:r>
      <w:r w:rsidRPr="0029181C">
        <w:rPr>
          <w:rStyle w:val="Emphasis"/>
        </w:rPr>
        <w:t>diseases</w:t>
      </w:r>
      <w:r w:rsidRPr="0029181C">
        <w:rPr>
          <w:rStyle w:val="StyleUnderline"/>
        </w:rPr>
        <w:t xml:space="preserve">; </w:t>
      </w:r>
      <w:r w:rsidRPr="0029181C">
        <w:rPr>
          <w:rStyle w:val="Emphasis"/>
        </w:rPr>
        <w:t>or inability to learn.</w:t>
      </w:r>
      <w:r w:rsidRPr="00027E14">
        <w:rPr>
          <w:sz w:val="16"/>
        </w:rPr>
        <w:t xml:space="preserve"> In the undulating colonial hall of mirrors, the inversion of these qualities — too much learnedness and the adoption of European manners, for example — could mean colonized people had failed to maintain the vigor of their "race." Thus, we begin to see how </w:t>
      </w:r>
      <w:r w:rsidRPr="0029181C">
        <w:rPr>
          <w:rStyle w:val="Emphasis"/>
          <w:highlight w:val="green"/>
        </w:rPr>
        <w:t>disability operated as a</w:t>
      </w:r>
      <w:r w:rsidRPr="00027E14">
        <w:rPr>
          <w:sz w:val="16"/>
        </w:rPr>
        <w:t xml:space="preserve"> flexible and capacious concept and a very useful </w:t>
      </w:r>
      <w:r w:rsidRPr="0029181C">
        <w:rPr>
          <w:rStyle w:val="Emphasis"/>
          <w:highlight w:val="green"/>
        </w:rPr>
        <w:t>weapon during the</w:t>
      </w:r>
      <w:r w:rsidRPr="00027E14">
        <w:rPr>
          <w:sz w:val="16"/>
        </w:rPr>
        <w:t xml:space="preserve"> incarceration, elimination, and </w:t>
      </w:r>
      <w:r w:rsidRPr="0029181C">
        <w:rPr>
          <w:rStyle w:val="Emphasis"/>
          <w:highlight w:val="green"/>
        </w:rPr>
        <w:t>removal of</w:t>
      </w:r>
      <w:r w:rsidRPr="0029181C">
        <w:rPr>
          <w:rStyle w:val="Emphasis"/>
        </w:rPr>
        <w:t xml:space="preserve"> unfit </w:t>
      </w:r>
      <w:r w:rsidRPr="0029181C">
        <w:rPr>
          <w:rStyle w:val="Emphasis"/>
          <w:highlight w:val="green"/>
        </w:rPr>
        <w:t>colonial Others.</w:t>
      </w:r>
      <w:r w:rsidRPr="00027E14">
        <w:rPr>
          <w:sz w:val="16"/>
        </w:rPr>
        <w:t xml:space="preserve">1 Lest we think of disability as a relatively recent scholarly paradigm, let me linger on </w:t>
      </w:r>
      <w:r w:rsidRPr="00027E14">
        <w:rPr>
          <w:rStyle w:val="StyleUnderline"/>
        </w:rPr>
        <w:t>the pointed use of disability in one nineteenth-century settler-colonial context.</w:t>
      </w:r>
      <w:r w:rsidRPr="00027E14">
        <w:rPr>
          <w:sz w:val="16"/>
        </w:rPr>
        <w:t xml:space="preserve"> Reverend </w:t>
      </w:r>
      <w:r w:rsidRPr="00027E14">
        <w:rPr>
          <w:rStyle w:val="StyleUnderline"/>
        </w:rPr>
        <w:t xml:space="preserve">Sereno Bishop, prominent </w:t>
      </w:r>
      <w:r w:rsidRPr="001B0D56">
        <w:rPr>
          <w:rStyle w:val="Emphasis"/>
        </w:rPr>
        <w:t>America</w:t>
      </w:r>
      <w:r w:rsidRPr="001B0D56">
        <w:rPr>
          <w:rStyle w:val="StyleUnderline"/>
        </w:rPr>
        <w:t>n</w:t>
      </w:r>
      <w:r w:rsidRPr="001B0D56">
        <w:rPr>
          <w:sz w:val="16"/>
        </w:rPr>
        <w:t xml:space="preserve"> missionary </w:t>
      </w:r>
      <w:r w:rsidRPr="001B0D56">
        <w:rPr>
          <w:rStyle w:val="StyleUnderline"/>
        </w:rPr>
        <w:t xml:space="preserve">descendant in Hawai'i, </w:t>
      </w:r>
      <w:r w:rsidRPr="001B0D56">
        <w:rPr>
          <w:rStyle w:val="Emphasis"/>
        </w:rPr>
        <w:t>characterized Hawaiians as a disabled</w:t>
      </w:r>
      <w:r w:rsidRPr="00027E14">
        <w:rPr>
          <w:rStyle w:val="StyleUnderline"/>
        </w:rPr>
        <w:t xml:space="preserve"> people in </w:t>
      </w:r>
      <w:proofErr w:type="gramStart"/>
      <w:r w:rsidRPr="00027E14">
        <w:rPr>
          <w:rStyle w:val="StyleUnderline"/>
        </w:rPr>
        <w:t>an 1888 address five years</w:t>
      </w:r>
      <w:proofErr w:type="gramEnd"/>
      <w:r w:rsidRPr="00027E14">
        <w:rPr>
          <w:rStyle w:val="StyleUnderline"/>
        </w:rPr>
        <w:t xml:space="preserve"> before the American-backed overthrow of the Hawaiian kingdom. </w:t>
      </w:r>
      <w:r w:rsidRPr="00027E14">
        <w:rPr>
          <w:rStyle w:val="Emphasis"/>
        </w:rPr>
        <w:t>Asking “Why are the Hawaiians dying out?” Bishop proceeded to itemize</w:t>
      </w:r>
      <w:r w:rsidRPr="00027E14">
        <w:rPr>
          <w:rStyle w:val="StyleUnderline"/>
        </w:rPr>
        <w:t xml:space="preserve"> the </w:t>
      </w:r>
      <w:r w:rsidRPr="00027E14">
        <w:rPr>
          <w:rStyle w:val="Emphasis"/>
        </w:rPr>
        <w:t>“elements of disability”</w:t>
      </w:r>
      <w:r w:rsidRPr="00027E14">
        <w:rPr>
          <w:rStyle w:val="StyleUnderline"/>
        </w:rPr>
        <w:t xml:space="preserve"> of Hawaiian people.</w:t>
      </w:r>
      <w:r w:rsidRPr="00027E14">
        <w:rPr>
          <w:sz w:val="16"/>
        </w:rPr>
        <w:t xml:space="preserve"> These elements included unchastity, drunkenness, oppression by chiefs, infectious and epidemic diseases, and idolatry.2 Bishop thus deployed disability explicitly to mark a Hawaiian failure to thrive. If colonists tied </w:t>
      </w:r>
      <w:proofErr w:type="spellStart"/>
      <w:r w:rsidRPr="00027E14">
        <w:rPr>
          <w:sz w:val="16"/>
        </w:rPr>
        <w:t>ablebodiedness</w:t>
      </w:r>
      <w:proofErr w:type="spellEnd"/>
      <w:r w:rsidRPr="00027E14">
        <w:rPr>
          <w:sz w:val="16"/>
        </w:rPr>
        <w:t xml:space="preserve"> to compulsory productivity and racialized heteronormativity, then how might decolonization projects differ in their relationship to disability? While Bishop's 1888 speech floridly illustrated disability as civilizational failure, </w:t>
      </w:r>
      <w:proofErr w:type="spellStart"/>
      <w:r w:rsidRPr="00027E14">
        <w:rPr>
          <w:sz w:val="16"/>
        </w:rPr>
        <w:t>Kimo</w:t>
      </w:r>
      <w:proofErr w:type="spellEnd"/>
      <w:r w:rsidRPr="00027E14">
        <w:rPr>
          <w:sz w:val="16"/>
        </w:rPr>
        <w:t xml:space="preserve"> Armitage's stunning 2016 novel The Healers imagines embodied difference as integral to wellness in contemporary Hawai'i.3 The novel's skilled practitioner of Hawaiian medicine, </w:t>
      </w:r>
      <w:proofErr w:type="spellStart"/>
      <w:r w:rsidRPr="00027E14">
        <w:rPr>
          <w:sz w:val="16"/>
        </w:rPr>
        <w:t>Laka</w:t>
      </w:r>
      <w:proofErr w:type="spellEnd"/>
      <w:r w:rsidRPr="00027E14">
        <w:rPr>
          <w:sz w:val="16"/>
        </w:rPr>
        <w:t xml:space="preserve">, may seem to fit Bishop's ominous nightmare of a "disabled" Hawaiian: a man born without arms and legs to a woman who had contracted leprosy. However, far from representing the inevitable destruction of Native lifeways, </w:t>
      </w:r>
      <w:proofErr w:type="spellStart"/>
      <w:r w:rsidRPr="00027E14">
        <w:rPr>
          <w:sz w:val="16"/>
        </w:rPr>
        <w:t>Laka</w:t>
      </w:r>
      <w:proofErr w:type="spellEnd"/>
      <w:r w:rsidRPr="00027E14">
        <w:rPr>
          <w:sz w:val="16"/>
        </w:rPr>
        <w:t xml:space="preserve"> offers life-giving possibilities. </w:t>
      </w:r>
      <w:proofErr w:type="spellStart"/>
      <w:r w:rsidRPr="00027E14">
        <w:rPr>
          <w:sz w:val="16"/>
        </w:rPr>
        <w:t>Laka</w:t>
      </w:r>
      <w:proofErr w:type="spellEnd"/>
      <w:r w:rsidRPr="00027E14">
        <w:rPr>
          <w:sz w:val="16"/>
        </w:rPr>
        <w:t xml:space="preserve"> was not </w:t>
      </w:r>
      <w:proofErr w:type="gramStart"/>
      <w:r w:rsidRPr="00027E14">
        <w:rPr>
          <w:sz w:val="16"/>
        </w:rPr>
        <w:t>shunned, but</w:t>
      </w:r>
      <w:proofErr w:type="gramEnd"/>
      <w:r w:rsidRPr="00027E14">
        <w:rPr>
          <w:sz w:val="16"/>
        </w:rPr>
        <w:t xml:space="preserve"> raised as the most treasured child of his extended family. As a healer, he senses deep wounds wrought by colonial violence and trains the next generation of healers. May we follow </w:t>
      </w:r>
      <w:proofErr w:type="spellStart"/>
      <w:r w:rsidRPr="00027E14">
        <w:rPr>
          <w:sz w:val="16"/>
        </w:rPr>
        <w:t>Laka's</w:t>
      </w:r>
      <w:proofErr w:type="spellEnd"/>
      <w:r w:rsidRPr="00027E14">
        <w:rPr>
          <w:sz w:val="16"/>
        </w:rPr>
        <w:t xml:space="preserve"> example in pursuit of a decolonial disability studies that embraces a spectrum of abilities, embodiments, and decolonizing practices?</w:t>
      </w:r>
    </w:p>
    <w:p w14:paraId="2C16A9BE" w14:textId="1527E72B" w:rsidR="00EC3E6A" w:rsidRDefault="00EC3E6A" w:rsidP="00EC3E6A"/>
    <w:p w14:paraId="36DC2168" w14:textId="73AB0780" w:rsidR="00EC3E6A" w:rsidRDefault="00EC3E6A" w:rsidP="00EC3E6A">
      <w:pPr>
        <w:pStyle w:val="Heading1"/>
      </w:pPr>
      <w:r>
        <w:t>Accessibility</w:t>
      </w:r>
    </w:p>
    <w:p w14:paraId="034BC09A" w14:textId="3FEEE38F" w:rsidR="00EC3E6A" w:rsidRPr="00EC3E6A" w:rsidRDefault="00EC3E6A" w:rsidP="00EC3E6A">
      <w:pPr>
        <w:pStyle w:val="Heading3"/>
      </w:pPr>
      <w:r>
        <w:t>The Disabled Narrative</w:t>
      </w:r>
    </w:p>
    <w:p w14:paraId="216A9FF9" w14:textId="77777777" w:rsidR="00EC3E6A" w:rsidRPr="009802CC" w:rsidRDefault="00EC3E6A" w:rsidP="00EC3E6A">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1287CDFB" w14:textId="77777777" w:rsidR="00EC3E6A" w:rsidRDefault="00EC3E6A" w:rsidP="00EC3E6A">
      <w:pPr>
        <w:rPr>
          <w:rStyle w:val="Style13ptBold"/>
        </w:rPr>
      </w:pPr>
      <w:r w:rsidRPr="009802CC">
        <w:rPr>
          <w:rStyle w:val="Style13ptBold"/>
        </w:rPr>
        <w:t>Mollow 15</w:t>
      </w:r>
    </w:p>
    <w:p w14:paraId="7EF5C456" w14:textId="77777777" w:rsidR="00EC3E6A" w:rsidRDefault="00EC3E6A" w:rsidP="00EC3E6A">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357A1340" w14:textId="77777777" w:rsidR="00EC3E6A" w:rsidRDefault="00EC3E6A" w:rsidP="00EC3E6A"/>
    <w:p w14:paraId="27414968" w14:textId="77777777" w:rsidR="00EC3E6A" w:rsidRPr="0004302C" w:rsidRDefault="00EC3E6A" w:rsidP="00EC3E6A">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0EA9D561" w14:textId="77777777" w:rsidR="00EC3E6A" w:rsidRDefault="00EC3E6A" w:rsidP="00EC3E6A">
      <w:pPr>
        <w:rPr>
          <w:rStyle w:val="Heading4Char"/>
          <w:rFonts w:cs="Times New Roman"/>
          <w:sz w:val="26"/>
        </w:rPr>
      </w:pPr>
      <w:r w:rsidRPr="009802CC">
        <w:rPr>
          <w:rStyle w:val="Heading4Char"/>
          <w:rFonts w:cs="Times New Roman"/>
          <w:sz w:val="26"/>
        </w:rPr>
        <w:t>Mollow 2</w:t>
      </w:r>
    </w:p>
    <w:p w14:paraId="246B9F5D" w14:textId="77777777" w:rsidR="00EC3E6A" w:rsidRDefault="00EC3E6A" w:rsidP="00EC3E6A">
      <w:r w:rsidRPr="007A418F">
        <w:t>the</w:t>
      </w:r>
      <w:r>
        <w:t xml:space="preserve"> </w:t>
      </w:r>
      <w:r w:rsidRPr="007A418F">
        <w:t>image of the</w:t>
      </w:r>
      <w:r>
        <w:t xml:space="preserve"> </w:t>
      </w:r>
      <w:r w:rsidRPr="007A418F">
        <w:t>Child” is inextricable</w:t>
      </w:r>
      <w:r>
        <w:t xml:space="preserve"> </w:t>
      </w:r>
      <w:r w:rsidRPr="007A418F">
        <w:t>from disability</w:t>
      </w:r>
      <w:r>
        <w:t xml:space="preserve"> </w:t>
      </w:r>
      <w:r w:rsidRPr="007A418F">
        <w:t>the Child is</w:t>
      </w:r>
      <w:r>
        <w:t xml:space="preserve"> </w:t>
      </w:r>
      <w:r w:rsidRPr="007A418F">
        <w:t>a</w:t>
      </w:r>
      <w:r>
        <w:t xml:space="preserve"> </w:t>
      </w:r>
      <w:r w:rsidRPr="007A418F">
        <w:t>display of pity that demeans disabled people.</w:t>
      </w:r>
      <w:r>
        <w:t xml:space="preserve"> </w:t>
      </w:r>
      <w:r w:rsidRPr="007A418F">
        <w:t>the Child makes an excellent alibi for ableism</w:t>
      </w:r>
      <w:r>
        <w:t xml:space="preserve"> </w:t>
      </w:r>
      <w:r w:rsidRPr="007A418F">
        <w:t>because</w:t>
      </w:r>
      <w:r>
        <w:t xml:space="preserve"> </w:t>
      </w:r>
      <w:r w:rsidRPr="007A418F">
        <w:t>not fighting for</w:t>
      </w:r>
      <w:r>
        <w:t xml:space="preserve"> </w:t>
      </w:r>
      <w:r w:rsidRPr="007A418F">
        <w:t>is unthinkable.</w:t>
      </w:r>
      <w:r>
        <w:t xml:space="preserve"> </w:t>
      </w:r>
      <w:r w:rsidRPr="007A418F">
        <w:t>The logic</w:t>
      </w:r>
      <w:r>
        <w:t xml:space="preserve"> </w:t>
      </w:r>
      <w:r w:rsidRPr="007A418F">
        <w:t>relies on</w:t>
      </w:r>
      <w:r>
        <w:t xml:space="preserve"> </w:t>
      </w:r>
      <w:r w:rsidRPr="007A418F">
        <w:t>“rehabilitative futurism,”</w:t>
      </w:r>
      <w:r>
        <w:t xml:space="preserve"> </w:t>
      </w:r>
      <w:r w:rsidRPr="007A418F">
        <w:t>Futurity is</w:t>
      </w:r>
      <w:r>
        <w:t xml:space="preserve"> </w:t>
      </w:r>
      <w:r w:rsidRPr="007A418F">
        <w:t>imagined</w:t>
      </w:r>
      <w:r>
        <w:t xml:space="preserve"> </w:t>
      </w:r>
      <w:r w:rsidRPr="007A418F">
        <w:t>that</w:t>
      </w:r>
      <w:r>
        <w:t xml:space="preserve"> </w:t>
      </w:r>
      <w:r w:rsidRPr="007A418F">
        <w:t>the eradication of disability</w:t>
      </w:r>
      <w:r>
        <w:t xml:space="preserve"> </w:t>
      </w:r>
      <w:r w:rsidRPr="007A418F">
        <w:t>would bring</w:t>
      </w:r>
      <w:r>
        <w:t xml:space="preserve"> </w:t>
      </w:r>
      <w:r w:rsidRPr="007A418F">
        <w:t>a better future.</w:t>
      </w:r>
    </w:p>
    <w:p w14:paraId="4FCD844E" w14:textId="77777777" w:rsidR="00EC3E6A" w:rsidRDefault="00EC3E6A" w:rsidP="00EC3E6A"/>
    <w:p w14:paraId="1A599628" w14:textId="77777777" w:rsidR="00EC3E6A" w:rsidRPr="00CF49AE" w:rsidRDefault="00EC3E6A" w:rsidP="00EC3E6A">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79E22CA2" w14:textId="77777777" w:rsidR="00EC3E6A" w:rsidRDefault="00EC3E6A" w:rsidP="00EC3E6A">
      <w:r w:rsidRPr="009802CC">
        <w:rPr>
          <w:rStyle w:val="Style13ptBold"/>
        </w:rPr>
        <w:t>St. Pierre 17</w:t>
      </w:r>
    </w:p>
    <w:p w14:paraId="74D73437" w14:textId="77777777" w:rsidR="00EC3E6A" w:rsidRDefault="00EC3E6A" w:rsidP="00EC3E6A">
      <w:r>
        <w:t>“Fluency” straightens semiotics to eliminate productive, systems Fluency attempts to cover over embodied difference and is enacted within the material The semiotic have become the domain of Language Pathology. fluency is marked by the flow of speech” a performance of bending bodies toward futures. [Those with Autism] restrict stimming Dyslexic bodies are erased from transcripts.</w:t>
      </w:r>
    </w:p>
    <w:p w14:paraId="7EFB1B70" w14:textId="77777777" w:rsidR="00EC3E6A" w:rsidRDefault="00EC3E6A" w:rsidP="00EC3E6A"/>
    <w:p w14:paraId="02588277" w14:textId="77777777" w:rsidR="00EC3E6A" w:rsidRDefault="00EC3E6A" w:rsidP="00EC3E6A">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1891BC91" w14:textId="77777777" w:rsidR="00EC3E6A" w:rsidRDefault="00EC3E6A" w:rsidP="00EC3E6A">
      <w:r w:rsidRPr="009802CC">
        <w:rPr>
          <w:rStyle w:val="Style13ptBold"/>
          <w:color w:val="000000" w:themeColor="text1"/>
        </w:rPr>
        <w:t>Selck 16</w:t>
      </w:r>
    </w:p>
    <w:p w14:paraId="29FBB609" w14:textId="77777777" w:rsidR="00EC3E6A" w:rsidRDefault="00EC3E6A" w:rsidP="00EC3E6A">
      <w:r>
        <w:t xml:space="preserve">disability is riddled with pain and attempts to make a space free from optimism to antagonize the erasure of dis/ability by analyzing the </w:t>
      </w:r>
      <w:proofErr w:type="spellStart"/>
      <w:r>
        <w:t>crip</w:t>
      </w:r>
      <w:proofErr w:type="spellEnd"/>
      <w:r>
        <w:t xml:space="preserve">-pessimist neoliberalism is effective at rebranding oppression as progress politics of progress strip agency from bodies with disabilities There is no approach that will address disabled experiences, as </w:t>
      </w:r>
      <w:proofErr w:type="spellStart"/>
      <w:r>
        <w:t>crip</w:t>
      </w:r>
      <w:proofErr w:type="spellEnd"/>
      <w:r>
        <w:t>-pessimism will remind us. after failing to rehabilitate able-bodied standards come to a comfort with pessimism.</w:t>
      </w:r>
    </w:p>
    <w:p w14:paraId="388339F5" w14:textId="77777777" w:rsidR="00EC3E6A" w:rsidRDefault="00EC3E6A" w:rsidP="00EC3E6A"/>
    <w:p w14:paraId="1D5338CF" w14:textId="77777777" w:rsidR="00EC3E6A" w:rsidRPr="0004302C" w:rsidRDefault="00EC3E6A" w:rsidP="00EC3E6A">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1CB717A5" w14:textId="77777777" w:rsidR="00EC3E6A" w:rsidRDefault="00EC3E6A" w:rsidP="00EC3E6A">
      <w:proofErr w:type="spellStart"/>
      <w:r w:rsidRPr="0004302C">
        <w:rPr>
          <w:b/>
          <w:bCs/>
          <w:color w:val="000000" w:themeColor="text1"/>
          <w:szCs w:val="26"/>
        </w:rPr>
        <w:t>Siebers</w:t>
      </w:r>
      <w:proofErr w:type="spellEnd"/>
      <w:r w:rsidRPr="0004302C">
        <w:rPr>
          <w:b/>
          <w:bCs/>
          <w:color w:val="000000" w:themeColor="text1"/>
          <w:szCs w:val="26"/>
        </w:rPr>
        <w:t xml:space="preserve"> et al. 17</w:t>
      </w:r>
    </w:p>
    <w:p w14:paraId="3712E27E" w14:textId="77777777" w:rsidR="00EC3E6A" w:rsidRDefault="00EC3E6A" w:rsidP="00EC3E6A">
      <w:r>
        <w:t>disability denigrate minority politics people of color and women are illegitimate their identities are disabled successful ploy supposed physical psychological flaws irrationality emotions and weakness racial inequality susceptibility to feeble-mindedness disability remains today an acceptable reason for unequal treatment other justifications have begun to fall away no longer to treat as inferior unless tied to disability there will always be one last justification for inferior treatment tied to physical and mental difference</w:t>
      </w:r>
    </w:p>
    <w:p w14:paraId="6A87D589" w14:textId="77777777" w:rsidR="00EC3E6A" w:rsidRDefault="00EC3E6A" w:rsidP="00EC3E6A"/>
    <w:p w14:paraId="7817D9D5" w14:textId="77777777" w:rsidR="00EC3E6A" w:rsidRPr="00D24FE5" w:rsidRDefault="00EC3E6A" w:rsidP="00EC3E6A">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460CC441" w14:textId="77777777" w:rsidR="00EC3E6A" w:rsidRDefault="00EC3E6A" w:rsidP="00EC3E6A">
      <w:r w:rsidRPr="00D24FE5">
        <w:rPr>
          <w:rStyle w:val="Style13ptBold"/>
          <w:szCs w:val="26"/>
        </w:rPr>
        <w:t xml:space="preserve">Mollow </w:t>
      </w:r>
      <w:r>
        <w:rPr>
          <w:rStyle w:val="Style13ptBold"/>
          <w:szCs w:val="26"/>
        </w:rPr>
        <w:t>3</w:t>
      </w:r>
    </w:p>
    <w:p w14:paraId="72D1BF76" w14:textId="77777777" w:rsidR="00EC3E6A" w:rsidRDefault="00EC3E6A" w:rsidP="00EC3E6A">
      <w:r>
        <w:t xml:space="preserve">although Freud specifies structure his model leaves room for the theorization of great diversity of content that fill that structure Factors such as gender, queerness, race, class, colonialism, disability can radically alter the ways in which constructs such as “the ego,” “the drive,” and “sexuality” come to be figured. The fluidity of </w:t>
      </w:r>
      <w:proofErr w:type="spellStart"/>
      <w:r>
        <w:t>Freud‟s</w:t>
      </w:r>
      <w:proofErr w:type="spellEnd"/>
      <w:r>
        <w:t xml:space="preserve"> paradigm has been the basis of important interventions by social theorists who I examine the ways in which cultural projections of the disability drive shape intersections of oppression including misogyny homophobia white </w:t>
      </w:r>
      <w:proofErr w:type="gramStart"/>
      <w:r>
        <w:t>supremacy ,</w:t>
      </w:r>
      <w:proofErr w:type="gramEnd"/>
      <w:r>
        <w:t xml:space="preserve"> and colonialism I will neither assume nor attempt to establish that the psychoanalytic ways of thinking will be useful to every subject and culture . The words our culture” </w:t>
      </w:r>
      <w:proofErr w:type="gramStart"/>
      <w:r>
        <w:t>cannot ,</w:t>
      </w:r>
      <w:proofErr w:type="gramEnd"/>
      <w:r>
        <w:t xml:space="preserve"> reference every person but the ableist social and psychic structures exceed the bounds of demarcations such as “US American culture,” “the West,” or “modern industrial societies</w:t>
      </w:r>
    </w:p>
    <w:p w14:paraId="440C2816" w14:textId="77777777" w:rsidR="00EC3E6A" w:rsidRPr="00EC3E6A" w:rsidRDefault="00EC3E6A" w:rsidP="00EC3E6A"/>
    <w:p w14:paraId="3B278D2C" w14:textId="365D823F" w:rsidR="00EC3E6A" w:rsidRPr="00EC3E6A" w:rsidRDefault="00EC3E6A" w:rsidP="00EC3E6A"/>
    <w:sectPr w:rsidR="00EC3E6A" w:rsidRPr="00EC3E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3E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09CB"/>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5AE"/>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E6A"/>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AE8D34"/>
  <w14:defaultImageDpi w14:val="300"/>
  <w15:docId w15:val="{EC3CBA98-11CA-E24B-B803-D2D8122E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3E6A"/>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EC3E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3E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EC3E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EC3E6A"/>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EC3E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3E6A"/>
  </w:style>
  <w:style w:type="character" w:customStyle="1" w:styleId="Heading1Char">
    <w:name w:val="Heading 1 Char"/>
    <w:aliases w:val="Pocket Char"/>
    <w:basedOn w:val="DefaultParagraphFont"/>
    <w:link w:val="Heading1"/>
    <w:uiPriority w:val="9"/>
    <w:rsid w:val="00EC3E6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C3E6A"/>
    <w:rPr>
      <w:rFonts w:ascii="Times New Roman" w:eastAsiaTheme="majorEastAsia" w:hAnsi="Times New Roman"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EC3E6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EC3E6A"/>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C3E6A"/>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Intense Emphasis111,normal + 12 pt"/>
    <w:basedOn w:val="DefaultParagraphFont"/>
    <w:uiPriority w:val="1"/>
    <w:qFormat/>
    <w:rsid w:val="00EC3E6A"/>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EC3E6A"/>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EC3E6A"/>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EC3E6A"/>
    <w:rPr>
      <w:color w:val="auto"/>
      <w:u w:val="none"/>
    </w:rPr>
  </w:style>
  <w:style w:type="paragraph" w:styleId="DocumentMap">
    <w:name w:val="Document Map"/>
    <w:basedOn w:val="Normal"/>
    <w:link w:val="DocumentMapChar"/>
    <w:uiPriority w:val="99"/>
    <w:semiHidden/>
    <w:unhideWhenUsed/>
    <w:rsid w:val="00EC3E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3E6A"/>
    <w:rPr>
      <w:rFonts w:ascii="Lucida Grande" w:hAnsi="Lucida Grande" w:cs="Lucida Grande"/>
    </w:rPr>
  </w:style>
  <w:style w:type="paragraph" w:customStyle="1" w:styleId="textbold">
    <w:name w:val="text bold"/>
    <w:basedOn w:val="Normal"/>
    <w:link w:val="Emphasis"/>
    <w:uiPriority w:val="20"/>
    <w:qFormat/>
    <w:rsid w:val="00EC3E6A"/>
    <w:pPr>
      <w:spacing w:after="0" w:line="240" w:lineRule="auto"/>
      <w:ind w:left="720"/>
      <w:jc w:val="both"/>
    </w:pPr>
    <w:rPr>
      <w:b/>
      <w:iCs/>
      <w:sz w:val="30"/>
      <w:u w:val="single"/>
    </w:rPr>
  </w:style>
  <w:style w:type="paragraph" w:customStyle="1" w:styleId="Smalltext">
    <w:name w:val="Small text"/>
    <w:aliases w:val="Quote1,Quote11"/>
    <w:basedOn w:val="Normal"/>
    <w:link w:val="SmalltextChar"/>
    <w:qFormat/>
    <w:rsid w:val="00EC3E6A"/>
    <w:rPr>
      <w:rFonts w:eastAsia="Calibri"/>
      <w:sz w:val="14"/>
    </w:rPr>
  </w:style>
  <w:style w:type="character" w:customStyle="1" w:styleId="SmalltextChar">
    <w:name w:val="Small text Char"/>
    <w:aliases w:val="Quote Char,Quote1 Char1"/>
    <w:link w:val="Smalltext"/>
    <w:rsid w:val="00EC3E6A"/>
    <w:rPr>
      <w:rFonts w:ascii="Times New Roman" w:eastAsia="Calibri" w:hAnsi="Times New Roman" w:cs="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sq-sds.org/article/view/5984/4694" TargetMode="External"/><Relationship Id="rId4" Type="http://schemas.openxmlformats.org/officeDocument/2006/relationships/customXml" Target="../customXml/item4.xml"/><Relationship Id="rId9" Type="http://schemas.openxmlformats.org/officeDocument/2006/relationships/hyperlink" Target="https://track5.mixtape.moe/frhir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9035</Words>
  <Characters>51501</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60416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2021-10-17T13:08:00Z</dcterms:created>
  <dcterms:modified xsi:type="dcterms:W3CDTF">2021-10-17T15:36:00Z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